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F3F" w:rsidRDefault="00092F3F" w:rsidP="00092F3F">
      <w:pPr>
        <w:shd w:val="clear" w:color="auto" w:fill="FFFFFF"/>
        <w:spacing w:after="120" w:line="240" w:lineRule="auto"/>
        <w:textAlignment w:val="baseline"/>
        <w:outlineLvl w:val="2"/>
        <w:rPr>
          <w:rFonts w:ascii="PT Serif" w:eastAsia="Times New Roman" w:hAnsi="PT Serif" w:cs="Times New Roman"/>
          <w:b/>
          <w:bCs/>
          <w:color w:val="26496F"/>
          <w:sz w:val="31"/>
          <w:szCs w:val="31"/>
        </w:rPr>
      </w:pPr>
      <w:bookmarkStart w:id="0" w:name="_GoBack"/>
      <w:bookmarkEnd w:id="0"/>
      <w:r w:rsidRPr="00092F3F">
        <w:rPr>
          <w:rFonts w:ascii="PT Serif" w:eastAsia="Times New Roman" w:hAnsi="PT Serif" w:cs="Times New Roman"/>
          <w:b/>
          <w:bCs/>
          <w:color w:val="26496F"/>
          <w:sz w:val="31"/>
          <w:szCs w:val="31"/>
        </w:rPr>
        <w:t>Инфраструктура поддержки субъектов малого и среднего предпринимательства в Волгоградской области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6"/>
        <w:gridCol w:w="3381"/>
        <w:gridCol w:w="2512"/>
      </w:tblGrid>
      <w:tr w:rsidR="00092F3F" w:rsidRPr="00092F3F" w:rsidTr="00092F3F">
        <w:tc>
          <w:tcPr>
            <w:tcW w:w="2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F3F" w:rsidRPr="00092F3F" w:rsidRDefault="00092F3F" w:rsidP="00092F3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222222"/>
                <w:sz w:val="24"/>
                <w:szCs w:val="24"/>
              </w:rPr>
            </w:pPr>
            <w:r w:rsidRPr="00092F3F">
              <w:rPr>
                <w:rFonts w:ascii="inherit" w:eastAsia="Times New Roman" w:hAnsi="inherit" w:cs="Times New Roman"/>
                <w:noProof/>
                <w:color w:val="0066CC"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1876425" cy="1409700"/>
                  <wp:effectExtent l="0" t="0" r="9525" b="0"/>
                  <wp:docPr id="1" name="Рисунок 1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F3F" w:rsidRPr="00092F3F" w:rsidRDefault="00092F3F" w:rsidP="00092F3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222222"/>
                <w:sz w:val="24"/>
                <w:szCs w:val="24"/>
              </w:rPr>
            </w:pPr>
            <w:r w:rsidRPr="00092F3F">
              <w:rPr>
                <w:rFonts w:ascii="inherit" w:eastAsia="Times New Roman" w:hAnsi="inherit" w:cs="Times New Roman"/>
                <w:color w:val="0070C0"/>
                <w:sz w:val="24"/>
                <w:szCs w:val="24"/>
                <w:bdr w:val="none" w:sz="0" w:space="0" w:color="auto" w:frame="1"/>
              </w:rPr>
              <w:t> </w:t>
            </w:r>
          </w:p>
          <w:p w:rsidR="00092F3F" w:rsidRPr="00092F3F" w:rsidRDefault="007C7069" w:rsidP="00092F3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222222"/>
                <w:sz w:val="24"/>
                <w:szCs w:val="24"/>
              </w:rPr>
            </w:pPr>
            <w:hyperlink r:id="rId8" w:tgtFrame="_blank" w:history="1">
              <w:r w:rsidR="00092F3F" w:rsidRPr="00092F3F">
                <w:rPr>
                  <w:rFonts w:ascii="inherit" w:eastAsia="Times New Roman" w:hAnsi="inherit" w:cs="Times New Roman"/>
                  <w:color w:val="0070C0"/>
                  <w:sz w:val="24"/>
                  <w:szCs w:val="24"/>
                  <w:u w:val="single"/>
                  <w:bdr w:val="none" w:sz="0" w:space="0" w:color="auto" w:frame="1"/>
                </w:rPr>
                <w:t>http://vinkub.ru/</w:t>
              </w:r>
            </w:hyperlink>
          </w:p>
        </w:tc>
        <w:tc>
          <w:tcPr>
            <w:tcW w:w="43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F3F" w:rsidRPr="00092F3F" w:rsidRDefault="00092F3F" w:rsidP="00092F3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222222"/>
                <w:sz w:val="24"/>
                <w:szCs w:val="24"/>
              </w:rPr>
            </w:pPr>
            <w:r w:rsidRPr="00092F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</w:rPr>
              <w:t>Государственное автономное учреждение Волгоградской области "Волгоградский областной бизнес-инкубатор"</w:t>
            </w:r>
          </w:p>
        </w:tc>
      </w:tr>
      <w:tr w:rsidR="00092F3F" w:rsidRPr="00092F3F" w:rsidTr="00092F3F">
        <w:tc>
          <w:tcPr>
            <w:tcW w:w="2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F3F" w:rsidRPr="00092F3F" w:rsidRDefault="00092F3F" w:rsidP="00092F3F">
            <w:pPr>
              <w:spacing w:after="0" w:line="240" w:lineRule="auto"/>
              <w:rPr>
                <w:rFonts w:ascii="PT Serif" w:eastAsia="Times New Roman" w:hAnsi="PT Serif" w:cs="Times New Roman"/>
                <w:color w:val="222222"/>
                <w:sz w:val="24"/>
                <w:szCs w:val="24"/>
              </w:rPr>
            </w:pPr>
            <w:r w:rsidRPr="00092F3F">
              <w:rPr>
                <w:rFonts w:ascii="PT Serif" w:eastAsia="Times New Roman" w:hAnsi="PT Serif" w:cs="Times New Roman"/>
                <w:noProof/>
                <w:color w:val="0066CC"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1571625" cy="1524000"/>
                  <wp:effectExtent l="0" t="0" r="9525" b="0"/>
                  <wp:docPr id="2" name="Рисунок 2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F3F" w:rsidRPr="00092F3F" w:rsidRDefault="00092F3F" w:rsidP="00092F3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222222"/>
                <w:sz w:val="24"/>
                <w:szCs w:val="24"/>
              </w:rPr>
            </w:pPr>
            <w:r w:rsidRPr="00092F3F">
              <w:rPr>
                <w:rFonts w:ascii="inherit" w:eastAsia="Times New Roman" w:hAnsi="inherit" w:cs="Times New Roman"/>
                <w:color w:val="222222"/>
                <w:sz w:val="24"/>
                <w:szCs w:val="24"/>
              </w:rPr>
              <w:t> </w:t>
            </w:r>
          </w:p>
          <w:p w:rsidR="00092F3F" w:rsidRPr="00092F3F" w:rsidRDefault="007C7069" w:rsidP="00092F3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222222"/>
                <w:sz w:val="24"/>
                <w:szCs w:val="24"/>
              </w:rPr>
            </w:pPr>
            <w:hyperlink r:id="rId11" w:tgtFrame="_blank" w:history="1">
              <w:r w:rsidR="00092F3F" w:rsidRPr="00092F3F">
                <w:rPr>
                  <w:rFonts w:ascii="inherit" w:eastAsia="Times New Roman" w:hAnsi="inherit" w:cs="Times New Roman"/>
                  <w:color w:val="0070C0"/>
                  <w:sz w:val="24"/>
                  <w:szCs w:val="24"/>
                  <w:u w:val="single"/>
                  <w:bdr w:val="none" w:sz="0" w:space="0" w:color="auto" w:frame="1"/>
                </w:rPr>
                <w:t>http://www.nprgf.com/</w:t>
              </w:r>
            </w:hyperlink>
          </w:p>
          <w:p w:rsidR="00092F3F" w:rsidRPr="00092F3F" w:rsidRDefault="00092F3F" w:rsidP="00092F3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222222"/>
                <w:sz w:val="24"/>
                <w:szCs w:val="24"/>
              </w:rPr>
            </w:pPr>
            <w:r w:rsidRPr="00092F3F">
              <w:rPr>
                <w:rFonts w:ascii="inherit" w:eastAsia="Times New Roman" w:hAnsi="inherit" w:cs="Times New Roman"/>
                <w:color w:val="0070C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F3F" w:rsidRPr="00092F3F" w:rsidRDefault="00092F3F" w:rsidP="00092F3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222222"/>
                <w:sz w:val="24"/>
                <w:szCs w:val="24"/>
              </w:rPr>
            </w:pPr>
            <w:r w:rsidRPr="00092F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</w:rPr>
              <w:t>Некоммерческое партнерство "Региональный гарантийный фонд"</w:t>
            </w:r>
          </w:p>
        </w:tc>
      </w:tr>
      <w:tr w:rsidR="00092F3F" w:rsidRPr="00092F3F" w:rsidTr="00092F3F">
        <w:tc>
          <w:tcPr>
            <w:tcW w:w="2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F3F" w:rsidRPr="00092F3F" w:rsidRDefault="00092F3F" w:rsidP="00092F3F">
            <w:pPr>
              <w:spacing w:after="0" w:line="240" w:lineRule="auto"/>
              <w:rPr>
                <w:rFonts w:ascii="PT Serif" w:eastAsia="Times New Roman" w:hAnsi="PT Serif" w:cs="Times New Roman"/>
                <w:color w:val="222222"/>
                <w:sz w:val="24"/>
                <w:szCs w:val="24"/>
              </w:rPr>
            </w:pPr>
            <w:r w:rsidRPr="00092F3F">
              <w:rPr>
                <w:rFonts w:ascii="PT Serif" w:eastAsia="Times New Roman" w:hAnsi="PT Serif" w:cs="Times New Roman"/>
                <w:noProof/>
                <w:color w:val="0066CC"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1419225" cy="1428750"/>
                  <wp:effectExtent l="0" t="0" r="9525" b="0"/>
                  <wp:docPr id="3" name="Рисунок 3">
                    <a:hlinkClick xmlns:a="http://schemas.openxmlformats.org/drawingml/2006/main" r:id="rId1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>
                            <a:hlinkClick r:id="rId1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F3F" w:rsidRPr="00092F3F" w:rsidRDefault="00092F3F" w:rsidP="00092F3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222222"/>
                <w:sz w:val="24"/>
                <w:szCs w:val="24"/>
              </w:rPr>
            </w:pPr>
            <w:r w:rsidRPr="00092F3F">
              <w:rPr>
                <w:rFonts w:ascii="inherit" w:eastAsia="Times New Roman" w:hAnsi="inherit" w:cs="Times New Roman"/>
                <w:color w:val="222222"/>
                <w:sz w:val="24"/>
                <w:szCs w:val="24"/>
              </w:rPr>
              <w:t> </w:t>
            </w:r>
          </w:p>
          <w:p w:rsidR="00092F3F" w:rsidRPr="00092F3F" w:rsidRDefault="007C7069" w:rsidP="00092F3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222222"/>
                <w:sz w:val="24"/>
                <w:szCs w:val="24"/>
              </w:rPr>
            </w:pPr>
            <w:hyperlink r:id="rId14" w:tgtFrame="_blank" w:history="1">
              <w:r w:rsidR="00092F3F" w:rsidRPr="00092F3F">
                <w:rPr>
                  <w:rFonts w:ascii="inherit" w:eastAsia="Times New Roman" w:hAnsi="inherit" w:cs="Times New Roman"/>
                  <w:color w:val="0070C0"/>
                  <w:sz w:val="24"/>
                  <w:szCs w:val="24"/>
                  <w:u w:val="single"/>
                  <w:bdr w:val="none" w:sz="0" w:space="0" w:color="auto" w:frame="1"/>
                </w:rPr>
                <w:t>http://rmc34.ru/</w:t>
              </w:r>
            </w:hyperlink>
          </w:p>
          <w:p w:rsidR="00092F3F" w:rsidRPr="00092F3F" w:rsidRDefault="00092F3F" w:rsidP="00092F3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222222"/>
                <w:sz w:val="24"/>
                <w:szCs w:val="24"/>
              </w:rPr>
            </w:pPr>
            <w:r w:rsidRPr="00092F3F">
              <w:rPr>
                <w:rFonts w:ascii="inherit" w:eastAsia="Times New Roman" w:hAnsi="inherit" w:cs="Times New Roman"/>
                <w:color w:val="0070C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F3F" w:rsidRPr="00092F3F" w:rsidRDefault="00092F3F" w:rsidP="00092F3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222222"/>
                <w:sz w:val="24"/>
                <w:szCs w:val="24"/>
              </w:rPr>
            </w:pPr>
            <w:r w:rsidRPr="00092F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</w:rPr>
              <w:t>Государственный фонд "Региональный микрофинансовый центр" (микрофинансовая организация)</w:t>
            </w:r>
          </w:p>
        </w:tc>
      </w:tr>
      <w:tr w:rsidR="00092F3F" w:rsidRPr="00092F3F" w:rsidTr="00092F3F">
        <w:tc>
          <w:tcPr>
            <w:tcW w:w="2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F3F" w:rsidRPr="00092F3F" w:rsidRDefault="00092F3F" w:rsidP="00092F3F">
            <w:pPr>
              <w:spacing w:after="0" w:line="240" w:lineRule="auto"/>
              <w:rPr>
                <w:rFonts w:ascii="PT Serif" w:eastAsia="Times New Roman" w:hAnsi="PT Serif" w:cs="Times New Roman"/>
                <w:color w:val="222222"/>
                <w:sz w:val="24"/>
                <w:szCs w:val="24"/>
              </w:rPr>
            </w:pPr>
            <w:r w:rsidRPr="00092F3F">
              <w:rPr>
                <w:rFonts w:ascii="PT Serif" w:eastAsia="Times New Roman" w:hAnsi="PT Serif" w:cs="Times New Roman"/>
                <w:noProof/>
                <w:color w:val="222222"/>
                <w:sz w:val="24"/>
                <w:szCs w:val="24"/>
              </w:rPr>
              <w:drawing>
                <wp:inline distT="0" distB="0" distL="0" distR="0">
                  <wp:extent cx="2400300" cy="15906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F3F" w:rsidRPr="00092F3F" w:rsidRDefault="00092F3F" w:rsidP="00092F3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222222"/>
                <w:sz w:val="24"/>
                <w:szCs w:val="24"/>
              </w:rPr>
            </w:pPr>
            <w:r w:rsidRPr="00092F3F">
              <w:rPr>
                <w:rFonts w:ascii="inherit" w:eastAsia="Times New Roman" w:hAnsi="inherit" w:cs="Times New Roman"/>
                <w:color w:val="222222"/>
                <w:sz w:val="24"/>
                <w:szCs w:val="24"/>
              </w:rPr>
              <w:t> </w:t>
            </w:r>
          </w:p>
          <w:p w:rsidR="00092F3F" w:rsidRPr="00092F3F" w:rsidRDefault="007C7069" w:rsidP="00092F3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222222"/>
                <w:sz w:val="24"/>
                <w:szCs w:val="24"/>
              </w:rPr>
            </w:pPr>
            <w:hyperlink r:id="rId16" w:tgtFrame="_blank" w:history="1">
              <w:r w:rsidR="00092F3F" w:rsidRPr="00092F3F">
                <w:rPr>
                  <w:rFonts w:ascii="inherit" w:eastAsia="Times New Roman" w:hAnsi="inherit" w:cs="Times New Roman"/>
                  <w:color w:val="0066CC"/>
                  <w:sz w:val="24"/>
                  <w:szCs w:val="24"/>
                  <w:u w:val="single"/>
                  <w:bdr w:val="none" w:sz="0" w:space="0" w:color="auto" w:frame="1"/>
                </w:rPr>
                <w:t>https://www.exportcenter.ru/</w:t>
              </w:r>
            </w:hyperlink>
          </w:p>
        </w:tc>
        <w:tc>
          <w:tcPr>
            <w:tcW w:w="4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F3F" w:rsidRPr="00092F3F" w:rsidRDefault="00092F3F" w:rsidP="00092F3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222222"/>
                <w:sz w:val="24"/>
                <w:szCs w:val="24"/>
              </w:rPr>
            </w:pPr>
            <w:r w:rsidRPr="00092F3F">
              <w:rPr>
                <w:rFonts w:ascii="inherit" w:eastAsia="Times New Roman" w:hAnsi="inherit" w:cs="Times New Roman"/>
                <w:color w:val="444444"/>
                <w:sz w:val="24"/>
                <w:szCs w:val="24"/>
                <w:bdr w:val="none" w:sz="0" w:space="0" w:color="auto" w:frame="1"/>
              </w:rPr>
              <w:t>АО «Российский экспортный центр»</w:t>
            </w:r>
          </w:p>
        </w:tc>
      </w:tr>
    </w:tbl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PT Serif" w:eastAsia="Times New Roman" w:hAnsi="PT Serif" w:cs="Times New Roman"/>
          <w:color w:val="222222"/>
          <w:sz w:val="24"/>
          <w:szCs w:val="24"/>
        </w:rPr>
        <w:t>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Инфраструктура поддержки малого и среднего предпринимательства в Волгоградской области позволяет конструктивно взаимодействовать органам государственной власти, органам местного самоуправления и предпринимательскому сообществу, качественно и оперативно представлять широкий спектр имущественных, финансовых, информационных и консалтинговых услуг, содействовать развитию научно-технических, производственных, торговых и информационных связей субъектов малого и среднего предпринимательства.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В соответствии с Федеральным законом от 24 июля 2007 г. №209-ФЗ "О развитии малого и среднего предпринимательства в Российской Федерации" инфраструктурой поддержки субъектов малого и среднего предпринимательства является система коммерческих и некоммерческих организаций, которые создаются, осуществляют свою деятельность или привлекаются в качестве поставщиков (исполнителей, подрядчиков) для осуществления закупок товаров, работ, услуг для обеспечения государственных и муниципальных нужд при реализации федеральных программ развития субъектов малого и среднего предпринимательства, региональных программ развития субъектов малого и среднего предпринимательства, муниципальных программ развития субъектов 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lastRenderedPageBreak/>
        <w:t>малого и среднего предпринимательства, обеспечивающих условия для создания субъектов малого и среднего предпринимательства, и для оказания им поддержки.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Инфраструктура поддержки субъектов малого и среднего предпринимательства включает в себя также центры и агентства по развитию предпринимательства, государственные и муниципальные фонды поддержки предпринимательства, фонды содействия кредитованию (гарантийные фонды, фонды поручительств), акционерные инвестиционные фонды и закрытые паевые инвестиционные фонды, привлекающие инвестиции для субъектов малого и среднего предпринимательства, технопарки, научные парки, инновационно-технологические центры, бизнес-инкубаторы, палаты и центры ремесел, центры поддержки субподряда, маркетинговые и учебно-деловые центры, агентства по поддержке экспорта товаров, лизинговые компании, консультационные центры, промышленные парки, индустриальные парки, агропромышленные парки, центры коммерциализации технологий, центры коллективного доступа к высокотехнологичному оборудованию, инжиниринговые центры, центры прототипирования и промышленного дизайна, центры трансфера технологий, центры кластерного развития, государственные фонды поддержки научной, научно-технической, инновационной деятельности, осуществляющие деятельность в соответствии с законодательством Российской Федерации, микрофинансовые организации и иные организации.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bdr w:val="none" w:sz="0" w:space="0" w:color="auto" w:frame="1"/>
        </w:rPr>
        <w:t>Государственное автономное учреждение Волгоградской области «Волгоградский областной бизнес-инкубатор»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Директор Государственного автономного учреждения Волгоградской области «Волгоградский областной бизнес-инкубатор»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- Панкратов Артем Евгеньевич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Место нахождения: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Волгоградская область, г. Волжский, ул. Пушкина, д. 45/1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Контактная информация: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(8443) 21-57-83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val="en-US"/>
        </w:rPr>
        <w:t>E</w:t>
      </w: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-</w:t>
      </w: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val="en-US"/>
        </w:rPr>
        <w:t>mail</w:t>
      </w: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: </w:t>
      </w:r>
      <w:hyperlink r:id="rId17" w:history="1"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/>
          </w:rPr>
          <w:t>gauvobi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</w:rPr>
          <w:t>@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/>
          </w:rPr>
          <w:t>volganet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</w:rPr>
          <w:t>.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/>
          </w:rPr>
          <w:t>ru</w:t>
        </w:r>
      </w:hyperlink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Сайт: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 </w:t>
      </w:r>
      <w:hyperlink r:id="rId18" w:history="1"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</w:rPr>
          <w:t>http://vinkub.ru</w:t>
        </w:r>
      </w:hyperlink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 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Государственное автономное учреждение Волгоградской области «Волгоградский областной бизнес-инкубатор» создано в соответствии с постановлением Администрации Волгоградской области от 8 июня 2009 года №189-п «О создании государственного автономного учреждения Волгоградской области «Волгоградский областной бизнес-инкубатор» (далее – Волгоградский областной бизнес-инкубатор).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Учредитель Волгоградского областного бизнес-инкубатора – Управление развития предпринимательства Администрации Волгоградской области.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br/>
        <w:t>В настоящее время правопреемником Управления развития предпринимательства Администрации Волгоградской области является Комитет экономики Волгоградской области (постановление Губернатора Волгоградской области от 25 ноября 2014 года №193 «Об утверждении Положения о комитете экономики Волгоградской области»).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br/>
        <w:t>Волгоградский областной бизнес-инкубатор является объектом инфраструктуры развития предпринимательства, осуществляющим поддержку предпринимателей на ранней стадии их деятельности, путем предоставления в аренду нежилых помещений, оборудованных всей необходимой для работы техникой и мебелью на льготных условиях и оказания различных дополнительных услуг (например, консалтинговых), обеспечивающих максимально комфортные условия становления успешного развития бизнеса в регионе.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bdr w:val="none" w:sz="0" w:space="0" w:color="auto" w:frame="1"/>
        </w:rPr>
        <w:t>Центр инжиниринга Волгоградской области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Место нахождения: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 400012, г. Волгоград, пр-т им. Маршала Советского Союза Г.К. Жукова пр-кт, д.3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Контактная информация: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(8442) 32-00-04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val="en-US"/>
        </w:rPr>
        <w:t>E</w:t>
      </w: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-</w:t>
      </w: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val="en-US"/>
        </w:rPr>
        <w:t>mail</w:t>
      </w: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:</w:t>
      </w:r>
      <w:hyperlink r:id="rId19" w:history="1"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val="en-US"/>
          </w:rPr>
          <w:t>civo</w:t>
        </w:r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</w:rPr>
          <w:t>34@</w:t>
        </w:r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val="en-US"/>
          </w:rPr>
          <w:t>mail</w:t>
        </w:r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</w:rPr>
          <w:t>.</w:t>
        </w:r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val="en-US"/>
          </w:rPr>
          <w:t>ru</w:t>
        </w:r>
      </w:hyperlink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br/>
      </w: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Сайт: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val="en-US"/>
        </w:rPr>
        <w:t>  </w:t>
      </w:r>
      <w:hyperlink r:id="rId20" w:history="1"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val="en-US"/>
          </w:rPr>
          <w:t>http</w:t>
        </w:r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</w:rPr>
          <w:t>://</w:t>
        </w:r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val="en-US"/>
          </w:rPr>
          <w:t>civo</w:t>
        </w:r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</w:rPr>
          <w:t>34.</w:t>
        </w:r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val="en-US"/>
          </w:rPr>
          <w:t>ru</w:t>
        </w:r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</w:rPr>
          <w:t>/</w:t>
        </w:r>
      </w:hyperlink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val="en-US"/>
        </w:rPr>
        <w:t>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 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val="en-US"/>
        </w:rPr>
        <w:t> 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Центр инжиниринга Волгоградской области (далее – ЦИВО) осуществляет деятельность как структурное подразделение действующего с 2009 года государственного автономного учреждения Волгоградской области "Волгоградский областной бизнес-инкубатор" (далее ГАУ "ВОБИ").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lastRenderedPageBreak/>
        <w:t>Основной целью деятельности ЦИВО является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формирование в регионе сетевой инфраструктуры инжиниринга, способствующей развитию, модернизации и внедрению новых технологий на производственных предприятиях малого и среднего предпринимательства Волгоградской области (далее – МСП) путем повышения их технологической готовности за счет создания (проектирования) технологических и технических процессов и объектов, которые реализуют указанные процессы.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Стратегическими задачами ЦИВО являются: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• оказание консультационной и экспертной поддержки субъектам малого и среднего предпринимательства в сфере технологического и проектного инжиниринга;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• проведение аналитических исследований в области определения потребностей и потенциальных возможностей субъектов малого и среднего предпринимательства с учетом диверсификации производства, применения передовых технологий, повышения энергоэффективности, использования альтернативных источников энергии;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• мониторинг инжиниринговых компаний субъектов малого и среднего предпринимательства, разработка инструментов их продвижения;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• оказание содействия в подготовке, переподготовке и повышении квалификации кадров для субъектов малого и среднего предпринимательства в рамках проектов по модернизации и созданию новых производств;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• подготовка для субъектов малого и среднего предпринимательства единых стандартов и унифицированных методических решений по применению технологий управления проектами в различных областях деятельности;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• преобразование в центре инжиниринга полного цикла работ (от разработки продукта и технологии до запуска их в производство и сдачи заказчику);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• привлечение в область инжиниринговых компаний, а также помощь в создании новых профильных компаний;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• проведение обучения и работ в бизнес-среде для стимулирования спроса на инжиниринговые услуги и формирования ключевых компетенций.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Основные направления деятельности: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br/>
        <w:t>  ЦИВО осуществляет координацию потребностей производственных предприятий в опорных отраслях промышленности Волгоградской области с технологическими возможностями субъектов МСП и оказывает всестороннюю инжиниринговую поддержку потенциально способным к развитию субъектам МСП.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br/>
        <w:t>ЦИВО аккумулирует лучший отечественный и зарубежный опыт в области научно-технических достижений и обеспечивает субъектам МСП доступ к услугам инжиниринга полного цикла: от изучения конъюнктуры соответствующего рынка до комплексной реализации инжиниринговых услуг «под ключ».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br/>
        <w:t>ЦИВО формирует систему аутсорсинга в направлении оказания инжиниринговых услуг и развивает субконтрактные отношения в промышленной и научно-технической среде, обеспечивая догрузку простаивающих и недоиспользованного производственного и научного оборудования. ЦИВО накапливает результаты реализованных региональных инновационных проектов, делая их общедоступными для всех субъектов малого и среднего предпринимательства, способствует развитию межотраслевых связей и взаимодействию между различными областями науки и техники, активизирует инновационную деятельность субъектов малого и среднего предпринимательства в Волгоградской области.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ЦИВО взаимодействует в интересах субъектов малого и среднего предпринимательства с органами государственной власти, органами местного самоуправления, кредитными учреждениями, промышленными предприятиями региона. ЦИВО представляет интересы МСП в финансовых институтах: проводит формирование кредитных заявок при поддержке инфраструктуры развития МСП и разрабатывает финансовые продукты для потребителей услуг инжиниринга.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lastRenderedPageBreak/>
        <w:t>Центр инжиниринга Волгоградской области предоставляет консультационную и экспертную поддержку производственным предприятиям волгоградской области на основании следующих условий: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1. Предприятие, претендующее на получение услуги, является субъектом малого, или среднего предпринимательства (в соответствии с Федеральным законом от 24 июля 2007 г. N 209-ФЗ "О развитии малого и среднего предпринимательства в Российской Федерации")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2. Претендент на получение услуг ЦИВО: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2.1. не должен иметь просроченной задолженности по уплате налоговых и иных обязательных платежей в бюджетную систему Российской Федерации, а также пеней, санкций и штрафов по ним на последнюю отчетную дату, предшествующую дате подачи заявки на получение услуги.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2.2. не находится в стадии ликвидации, решение о признании банкротом и открытии конкурсного производства не принято.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2.3. не участвует в судебных и иных разбирательствах, влекущих приостановление, либо прекращение деятельности юридического лица.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2.4. не является участником соглашений о разделе продукции.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2.5. осуществляет деятельность в сфере производства товаров (работ, услуг).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2.6. в адрес ЦИВО направлено заявление установленной формы (предоставляется по запросу).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bdr w:val="none" w:sz="0" w:space="0" w:color="auto" w:frame="1"/>
        </w:rPr>
        <w:t>Некомерческое партнерство "Региональный гарантийный фонд"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Директор некоммерческого партнерства «Региональный гарантийный  фонд»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 Ермаков Алексей Викторович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Местонахождение: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400012, г. Волгоград, пр-т им. Маршала Советского Союза Г.К. Жукова пр-кт, д.3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Контактные телефоны: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(8442) 35-23-89, 35-23-90, 35-23-91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e-mail: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</w:t>
      </w:r>
      <w:hyperlink r:id="rId21" w:history="1"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</w:rPr>
          <w:t>garantfond34@bk.ru</w:t>
        </w:r>
      </w:hyperlink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сайт: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</w:t>
      </w:r>
      <w:hyperlink r:id="rId22" w:history="1"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</w:rPr>
          <w:t>www.nprgf.com</w:t>
        </w:r>
      </w:hyperlink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Некоммерческое партнерство «Региональный гарантийный фонд»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образовано 26.11.2007г. в соответствии с распоряжением Главы Администрации Волгоградской области от 22.11.2007 №1229-р, с целью обеспечения доступа субъектов малого и среднего предпринимательства Волгоградской области к финансовым ресурсам в форме предоставления поручительства по кредитам банков.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Членами партнерства являются: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Комитет экономики Волгоградской области,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Областная общественная организация «Волгоградский центр защиты и развития бизнеса «Дело».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Фонд является организацией инфраструктуры поддержки малого и среднего предпринимательства.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      Основным направлением деятельности Фонда является: предоставление поручительств Фонда  по обязательствам субъектов малого и среднего предпринимательства и организаций инфраструктуры поддержки субъектов малого и среднего предпринимательства, основанных на кредитных договорах и договорах займа заключаемых с Фондом развития промышленности.  </w:t>
      </w:r>
      <w:r w:rsidRPr="00092F3F">
        <w:rPr>
          <w:rFonts w:ascii="PT Serif" w:eastAsia="Times New Roman" w:hAnsi="PT Serif" w:cs="Times New Roman"/>
          <w:color w:val="222222"/>
          <w:sz w:val="24"/>
          <w:szCs w:val="24"/>
        </w:rPr>
        <w:t>Деятельность Фонда направлена на создание благоприятных условий для развития малого и среднего предпринимательства Волгоградской области.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bdr w:val="none" w:sz="0" w:space="0" w:color="auto" w:frame="1"/>
        </w:rPr>
        <w:t>Государственный фонд «Региональный микрофинансовый центр»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Директор государственного фонда «Региональный микрофинансовый центр» (микрофинансовая организация)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-  Багандова  Людмила Сергеевна.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Местонахождение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: 400012, Волгоградская область, г. Волгоград, пр-кт им. Маршала Советского Союза Г.К. Жукова, д.3, каб. 306, 307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Контактные телефоны: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(8442) 35-22-93, 35-22-94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val="en-US"/>
        </w:rPr>
        <w:t>E</w:t>
      </w: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-</w:t>
      </w: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val="en-US"/>
        </w:rPr>
        <w:t>mail</w:t>
      </w: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:</w:t>
      </w:r>
      <w:hyperlink r:id="rId23" w:history="1"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/>
          </w:rPr>
          <w:t>volganet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</w:rPr>
          <w:t>.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/>
          </w:rPr>
          <w:t>rmc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</w:rPr>
          <w:t>@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/>
          </w:rPr>
          <w:t>yandex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</w:rPr>
          <w:t>.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/>
          </w:rPr>
          <w:t>ru</w:t>
        </w:r>
      </w:hyperlink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сайт: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</w:t>
      </w:r>
      <w:hyperlink r:id="rId24" w:history="1"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</w:rPr>
          <w:t>www.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/>
          </w:rPr>
          <w:t>rmc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</w:rPr>
          <w:t>34.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/>
          </w:rPr>
          <w:t>ru</w:t>
        </w:r>
      </w:hyperlink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Государственный фонд «Региональный микрофинансовый центр» (микрофинансовая организация) создан в соответствии с постановлением Администрации Волгоградской области от 09.08.2010 г. № 357-п  с целью обеспечения доступа субъектов малого и среднего предпринимательства 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lastRenderedPageBreak/>
        <w:t>Волгоградской области к заемным финансовым ресурсам посредством  формирования (пополнения) фондов микрофинансовых организаций и кредитных потребительских кооперативов для выдачи в дальнейшем микрозаймов субъектам малого и среднего предпринимательства.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Учредитель -  Комитет экономики Волгоградской области.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Государственный фонд «Региональный микрофинансовый центр» (микрофинансовая организация) является одной из организаций инфраструктуры поддержки малого и среднего предпринимательства комитета экономики  Волгоградской области.       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Основным  видом деятельности ГФ «РМЦ» (МФО) является предоставление займов микрофинансовым организациям и кредитным потребительским кооперативам для дальнейшего финансирования  субъектов малого и среднего предпринимательства и организаций инфраструктуры поддержки малого и среднего предпринимательства Волгоградской области.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Источником предоставления займов является фонд микрофинансирования, сформированный за счет субсидий федерального и областного бюджетов и за счет собственных средств Фонда.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По состоянию на 31.12.2015 фонд микрофинансирования составляет 193,3 млн. рублей.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За весь период деятельности по состоянию на 31.12.2015 ГФ «РМЦ» (МФО)  выданы займы 26 микрофинансовым организациям и кредитным потребительским кооперативам  в общем объеме 600,9 млн. рублей, микрозаймы получили более 1081 субъектов малого и среднего предпринимательства. 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Полная информация о деятельности государственного фонда «Региональный микрофинансовый центр» (микрофинансовая организация) размещена на сайте: </w:t>
      </w:r>
      <w:hyperlink r:id="rId25" w:tgtFrame="_self" w:history="1"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/>
          </w:rPr>
          <w:t>www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</w:rPr>
          <w:t>. 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/>
          </w:rPr>
          <w:t>rmc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</w:rPr>
          <w:t>34.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/>
          </w:rPr>
          <w:t>ru</w:t>
        </w:r>
      </w:hyperlink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</w:rPr>
        <w:t>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bdr w:val="none" w:sz="0" w:space="0" w:color="auto" w:frame="1"/>
        </w:rPr>
        <w:t>Центр поддержки предпринимательства</w:t>
      </w:r>
    </w:p>
    <w:tbl>
      <w:tblPr>
        <w:tblW w:w="9200" w:type="dxa"/>
        <w:tblInd w:w="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0"/>
      </w:tblGrid>
      <w:tr w:rsidR="00092F3F" w:rsidRPr="00092F3F" w:rsidTr="00092F3F">
        <w:tc>
          <w:tcPr>
            <w:tcW w:w="92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92F3F" w:rsidRPr="00092F3F" w:rsidRDefault="00092F3F" w:rsidP="00092F3F">
            <w:pPr>
              <w:spacing w:after="0" w:line="240" w:lineRule="auto"/>
              <w:textAlignment w:val="baseline"/>
              <w:rPr>
                <w:rFonts w:ascii="PT Serif" w:eastAsia="Times New Roman" w:hAnsi="PT Serif" w:cs="Times New Roman"/>
                <w:color w:val="222222"/>
                <w:sz w:val="24"/>
                <w:szCs w:val="24"/>
              </w:rPr>
            </w:pPr>
            <w:r w:rsidRPr="00092F3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bdr w:val="none" w:sz="0" w:space="0" w:color="auto" w:frame="1"/>
              </w:rPr>
              <w:t>Место </w:t>
            </w:r>
            <w:r w:rsidRPr="00092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нахождения:</w:t>
            </w:r>
            <w:r w:rsidRPr="00092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400012, Волгоградская область, г. Волгоград, пр-кт им. Маршала Советского Союза Г.К. Жукова, д.3</w:t>
            </w:r>
          </w:p>
          <w:p w:rsidR="00092F3F" w:rsidRPr="00092F3F" w:rsidRDefault="00092F3F" w:rsidP="00092F3F">
            <w:pPr>
              <w:spacing w:after="0" w:line="240" w:lineRule="auto"/>
              <w:textAlignment w:val="baseline"/>
              <w:rPr>
                <w:rFonts w:ascii="PT Serif" w:eastAsia="Times New Roman" w:hAnsi="PT Serif" w:cs="Times New Roman"/>
                <w:color w:val="222222"/>
                <w:sz w:val="24"/>
                <w:szCs w:val="24"/>
              </w:rPr>
            </w:pPr>
            <w:r w:rsidRPr="00092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Контактная информация:</w:t>
            </w:r>
            <w:r w:rsidRPr="00092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(8442)32-00-06</w:t>
            </w:r>
          </w:p>
          <w:p w:rsidR="00092F3F" w:rsidRPr="00092F3F" w:rsidRDefault="00092F3F" w:rsidP="00092F3F">
            <w:pPr>
              <w:spacing w:after="0" w:line="240" w:lineRule="auto"/>
              <w:textAlignment w:val="baseline"/>
              <w:rPr>
                <w:rFonts w:ascii="PT Serif" w:eastAsia="Times New Roman" w:hAnsi="PT Serif" w:cs="Times New Roman"/>
                <w:color w:val="222222"/>
                <w:sz w:val="24"/>
                <w:szCs w:val="24"/>
              </w:rPr>
            </w:pPr>
            <w:r w:rsidRPr="00092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E</w:t>
            </w:r>
            <w:r w:rsidRPr="00092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</w:t>
            </w:r>
            <w:r w:rsidRPr="00092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mail</w:t>
            </w:r>
            <w:r w:rsidRPr="00092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: </w:t>
            </w:r>
            <w:hyperlink r:id="rId26" w:history="1">
              <w:r w:rsidRPr="00092F3F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bdr w:val="none" w:sz="0" w:space="0" w:color="auto" w:frame="1"/>
                  <w:lang w:val="en-US"/>
                </w:rPr>
                <w:t>cpp</w:t>
              </w:r>
              <w:r w:rsidRPr="00092F3F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bdr w:val="none" w:sz="0" w:space="0" w:color="auto" w:frame="1"/>
                </w:rPr>
                <w:t>34@</w:t>
              </w:r>
              <w:r w:rsidRPr="00092F3F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bdr w:val="none" w:sz="0" w:space="0" w:color="auto" w:frame="1"/>
                  <w:lang w:val="en-US"/>
                </w:rPr>
                <w:t>bk</w:t>
              </w:r>
              <w:r w:rsidRPr="00092F3F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bdr w:val="none" w:sz="0" w:space="0" w:color="auto" w:frame="1"/>
                </w:rPr>
                <w:t>.</w:t>
              </w:r>
              <w:r w:rsidRPr="00092F3F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bdr w:val="none" w:sz="0" w:space="0" w:color="auto" w:frame="1"/>
                  <w:lang w:val="en-US"/>
                </w:rPr>
                <w:t>ru</w:t>
              </w:r>
            </w:hyperlink>
          </w:p>
          <w:p w:rsidR="00092F3F" w:rsidRPr="00092F3F" w:rsidRDefault="00092F3F" w:rsidP="00092F3F">
            <w:pPr>
              <w:spacing w:after="0" w:line="240" w:lineRule="auto"/>
              <w:textAlignment w:val="baseline"/>
              <w:rPr>
                <w:rFonts w:ascii="PT Serif" w:eastAsia="Times New Roman" w:hAnsi="PT Serif" w:cs="Times New Roman"/>
                <w:color w:val="222222"/>
                <w:sz w:val="24"/>
                <w:szCs w:val="24"/>
              </w:rPr>
            </w:pPr>
            <w:r w:rsidRPr="00092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Сайт</w:t>
            </w:r>
            <w:r w:rsidRPr="00092F3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val="en-US"/>
              </w:rPr>
              <w:t>: http://cppvlg.ru/</w:t>
            </w:r>
          </w:p>
        </w:tc>
      </w:tr>
    </w:tbl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Центр поддержки </w:t>
      </w: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предпринимательства Волгоградской области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(далее – ЦПП) осуществляет свою деятельность как структурное подразделение действующего с 2009 года Государственного автономного учреждения Волгоградской области "Волгоградский областной бизнес-инкубатор" (далее – ГАУ "ВОБИ").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ЦПП предоставляет бесплатную консультационную и экспертную поддержку по вопросам ведения предпринимательской деятельности. Деятельность финансируется Министерством экономического развития РФ, а также Комитетом экономики Волгоградской области.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Перечень оказываемых услуг Центра поддержки предпринимательства: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• Консультационные услуги по вопросам финансового планирования (бюджетирование, оптимизация налогообложения, бухгалтерские услуги и т.д.);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• Консультационные услуги по вопросам маркетингового сопровождения деятельности и бизнес-планированию (разработка маркетинговой стратегии и планов, рекламной кампании, дизайна, разработка и продвижение бренда и т.д.);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• Консультационные услуги по вопросам патентно-лицензионного сопровождения деятельности (формирование патентно-лицензионной политики, патентование, разработка лицензионных договоров, определение цены лицензий);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• Консультационные услуги по вопросам правового обеспечения деятельности (в том числе составление и экспертиза договоров, соглашений, учредительных документов, должностных регламентов и инструкций и т.д.);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• Организация специальных программ обучения для субъектов малого и среднего предпринимательства с целью повышения их квалификации по вопросам осуществления предпринимательской деятельности, реализации инновационной продукции и экспорта товаров (работ, услуг).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bdr w:val="none" w:sz="0" w:space="0" w:color="auto" w:frame="1"/>
        </w:rPr>
        <w:t>Фонд микрофинансирования предпринимательства Волгоградской области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Займы до трех миллионов рублей Фонда микрофинансирования предпринимательства Волгоградской области теперь можно получить под 6,25%  и 7,25 % годовых. Для финансирования субъектов МСП предусмотрено 3 программы микрофинансирования: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lastRenderedPageBreak/>
        <w:t>1) «Оборотный» (микрозайм предоставляется на срок от 3 до 18 месяцев, в сумме  от 300 000 рублей до 3 000 000 рублей с процентной ставкой 7,25% годовых в целях пополнения оборотных средств);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2) «Инвестиционный» (микрозайм предоставляется на срок от 3 до 36 месяцев, в сумме от 300 000 рублей до 3 000 000 рублей с процентной ставкой 7% годовых, в целях приобретения и ремонт производственных и офисных помещений, приобретения товаров в рамках проекта по расширению бизнеса, реинвестирования в оборот средств, направленных на инвестиционные цели не позднее 12 месяцев, оплаты первого взноса (аванса) и (или) лизинговых платежей по договорам лизинга);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3) «Старт» (микрозайм предоставляется субъектам МСП, зарегистрированным от 6 месяцев до 12 месяцев и осуществляющим деятельность не менее 3 месяцев, на срок от 3 до 24 месяцев, в сумме от 300 000 рублей до 1 000 000 рублей с процентной ставкой 6,25% годовых).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bdr w:val="none" w:sz="0" w:space="0" w:color="auto" w:frame="1"/>
        </w:rPr>
        <w:t>Контакты: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br/>
      </w:r>
      <w:r w:rsidRPr="00092F3F">
        <w:rPr>
          <w:rFonts w:ascii="inherit" w:eastAsia="Times New Roman" w:hAnsi="inherit" w:cs="Times New Roman"/>
          <w:i/>
          <w:iCs/>
          <w:color w:val="222222"/>
          <w:sz w:val="24"/>
          <w:szCs w:val="24"/>
          <w:bdr w:val="none" w:sz="0" w:space="0" w:color="auto" w:frame="1"/>
        </w:rPr>
        <w:t>Адрес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: 400012, г. Волгоград, пр-т им. Маршала Советского Союза Г.К. Жукова пр-кт, д.3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br/>
      </w:r>
      <w:r w:rsidRPr="00092F3F">
        <w:rPr>
          <w:rFonts w:ascii="inherit" w:eastAsia="Times New Roman" w:hAnsi="inherit" w:cs="Times New Roman"/>
          <w:i/>
          <w:iCs/>
          <w:color w:val="222222"/>
          <w:sz w:val="24"/>
          <w:szCs w:val="24"/>
          <w:bdr w:val="none" w:sz="0" w:space="0" w:color="auto" w:frame="1"/>
        </w:rPr>
        <w:t>e-mail: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</w:t>
      </w:r>
      <w:hyperlink r:id="rId27" w:history="1"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/>
          </w:rPr>
          <w:t>volganet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</w:rPr>
          <w:t>.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/>
          </w:rPr>
          <w:t>rmc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</w:rPr>
          <w:t>@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/>
          </w:rPr>
          <w:t>yandex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</w:rPr>
          <w:t>.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/>
          </w:rPr>
          <w:t>ru</w:t>
        </w:r>
      </w:hyperlink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сайт:</w:t>
      </w:r>
      <w:r w:rsidRPr="00092F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  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val="en-US"/>
        </w:rPr>
        <w:t>www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.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val="en-US"/>
        </w:rPr>
        <w:t>rmc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34.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val="en-US"/>
        </w:rPr>
        <w:t>ru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Телефоны: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br/>
        <w:t>(8442) 35-24-88, (8442) 35-22-94 – специалисты;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br/>
        <w:t>(8442) 35-22-95 – руководитель Фонда.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bdr w:val="none" w:sz="0" w:space="0" w:color="auto" w:frame="1"/>
        </w:rPr>
        <w:t>Центр поддержки экспорта Волгоградской области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Место нахождения: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г. Волгоград, пр. им. Жукова, д.3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Контактная информация: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(8442) 32-00-03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Начальник отдела: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Афанасова Виктория Сергеевна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val="en-US"/>
        </w:rPr>
        <w:t>E</w:t>
      </w: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-</w:t>
      </w: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val="en-US"/>
        </w:rPr>
        <w:t>mail</w:t>
      </w: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:</w:t>
      </w:r>
      <w:hyperlink r:id="rId28" w:history="1"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/>
          </w:rPr>
          <w:t>export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</w:rPr>
          <w:t>34@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/>
          </w:rPr>
          <w:t>bk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</w:rPr>
          <w:t>.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/>
          </w:rPr>
          <w:t>ru</w:t>
        </w:r>
      </w:hyperlink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Сайт:  </w:t>
      </w:r>
      <w:hyperlink r:id="rId29" w:history="1"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</w:rPr>
          <w:t>http://cpe.it-face.com/about</w:t>
        </w:r>
      </w:hyperlink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Центр поддержки экспорта Волгоградской области осуществляет свою деятельность на базе ГАУ ВО «Волгоградский областной бизнес–инкубатор» и является инфраструктурой государственной поддержки СМСП Волгоградской области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Все услуги Центра предоставляются на безвозмездной основе</w:t>
      </w: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</w:rPr>
        <w:t>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 Цели и задачи центра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· содействие выходу субъектов малого и среднего предпринимательства на иностранные рынки товаров, услуг и технологий;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· стимулирование и вовлечение субъектов малого и среднего предпринимательства в экспортную деятельность;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· содействие повышению конкурентоспособности и эффективности деятельности экспортно ориентированных субъектов малого и среднего предпринимательства. 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 Виды деятельности (услуги):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o Информационная поддержка участников внешнеэкономической деятельности (ВЭД);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o Консультационная поддержка участников ВЭД;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o Организация встреч и переговоров с иностранными партнерами;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o Реализация образовательной программы РЭЦ.</w:t>
      </w: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</w:rPr>
        <w:t>    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 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  Информационная поддержка участников ВЭД: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· Продвижение информации о предприятиях области на российских и зарубежных Интернет-ресурсах;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· Помощь в установлении контактов с зарубежными бизнес-ассоциациями, поиск деловых партнеров и иностранных инвесторов для предприятий области;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· Издание и рассылка презентационных материалов об экспортерах Волгоградской области (в печатном и электронном виде);</w:t>
      </w: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</w:rPr>
        <w:t> 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· Подготовка справок и обзоров зарубежных рынков сбыта, а также обзоров проводимых за рубежом деловых мероприятий;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· Проведение семинаров по актуальным вопросам ведения ВЭД.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lastRenderedPageBreak/>
        <w:t>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· Содействие в проведении маркетинговых исследований</w:t>
      </w: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</w:rPr>
        <w:t>   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  Консультационная поддержка участников ВЭД: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· Предоставление консультаций по вопросам внешнеэкономической деятельности, в том числе посредством привлечения сторонних экспертов;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· Подготовка и экспертиза документов для создания предприятий с иностранными инвестициями, зарубежных филиалов предприятий;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· Услуги по переводу с иностранных языков и на иностранные языки деловых писем, коммерческих и юридических документов, рекламно-информационных материалов, научно-технических текстов, товарно-сопроводительной документации;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Организация встреч и переговоров с иностранными партнерам: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· Организация «деловых миссий» - коллективных поездок предпринимателей области для переговоров с иностранными партнерами;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· Организация участия предприятий Волгоградской области в международных конгрессно-выставочных мероприятиях;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· Организация приема делегаций зарубежных предпринимателей;· Организация вебинаров, круглых столов, конференций, форумов, семинаров, мастер- классов и иных публичных мероприятий по тематике экспортной деятельности для субъектов малого и среднего предпринимательства.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Реализация образовательной программы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</w:t>
      </w: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</w:rPr>
        <w:t>Российского экспортного центра (РЭЦ)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АО «Российский экспортный центр» (далее - РЭЦ) создан в 2015 г. по поручению Правительства Российской Федерации в качестве института развития несырьевого экспорта.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РЭЦ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– это «единое окно», обратившись в которое компании, заинтересованные в экспорте, могут получить полный перечень финансовых и нефинансовых услуг, включая образовательную поддержку.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С этой целью в апреле 2016 РЭЦ запускает Образовательный проект.         Образовательный проект РЭЦ – это программа обучения для начинающих компаний-экспортеров основам и ведению экспортной деятельности, которая сочетает в себе лучшие практики от ведущих экспертов в области внешнеэкономической деятельности России и международный опыт.                   Особенность образовательного проекта состоит в его модульной системе подачи информации, где каждый курс является самодостаточной программой.   Слушатели курсов познакомятся со всеми этапами экспортной деятельности, начиная от оценки своих возможностей для выхода на внешний рынок и заканчивая возвратом валютного НДС.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Задачи проекта: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Основная задача проекта – сформировать у компаний МСП базу знаний для успешного и эффективного старта экспортной деятельности.                                   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Каждый представитель МСП может получить дополнительное образование в сфере экспортной деятельности в удобном для него формате: дистанционно на сайте проекта или в формате очных занятий*. По итогам обучения каждый слушатель получает удостоверение об успешном прохождении курса по программе Образовательного проекта РЭЦ.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Образовательный проект Российского экспортного центра – это курсы повышения квалификации для региональных представителей малого и среднего бизнеса, заинтересованных в развитии экспортного потенциала своего предприятия.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Программа обучения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Для последовательного формирования системы знаний образовательная программа разделена на курсы и охватывает все сферы экспортной деятельности.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· Введение в экспорт: жизненный цикл экспортного проекта. Государственная поддержка экспортноориентированных предприятий.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· Деловая коммуникация в экспортной деятельности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· Правовое обеспечение экспортной деятельности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· Управление финансовыми ресурсами для экспортеров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· Документационное обеспечение экспортной деятельности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· Таможенное оформление экспортных операций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· Логистика в экспортной деятельности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lastRenderedPageBreak/>
        <w:t>   Участник Образовательного проекта РЭЦ может изучить как несколько курсов, так и пройти обучение по всей образовательной программе.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Каждый представитель МСП может получить дополнительное образование в сфере экспортной деятельности в удобном для него формате: очно в Центре поддержки экспорта Волгоградской области или дистанционно на сайте проекта </w:t>
      </w:r>
      <w:hyperlink r:id="rId30" w:tgtFrame="_blank" w:history="1"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</w:rPr>
          <w:t>www.ExportEdu.ru</w:t>
        </w:r>
      </w:hyperlink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Механизм реализации Программы: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• РЭЦ организует на площадке Центра поддержки экспорта Волгоградской области обучение экспортно ориентированных компаний посредством передачи комплекта учебно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softHyphen/>
        <w:t xml:space="preserve"> методических материалов региональным тренерам, аттестованным в РЭЦ;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• Центр поддержки экспорта Волгоградской области осуществляет обучение экспортно ориентированных компаний в соответствии с разработанными стандартами обучения при постоянном методологическом сопровождении РЭЦ;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• По итогам обучения каждый слушатель получает удостоверение об успешном прохождении курса по программе Образовательного проекта РЭЦ.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 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inherit" w:eastAsia="Times New Roman" w:hAnsi="inherit" w:cs="Times New Roman"/>
          <w:b/>
          <w:bCs/>
          <w:i/>
          <w:iCs/>
          <w:color w:val="222222"/>
          <w:sz w:val="24"/>
          <w:szCs w:val="24"/>
          <w:u w:val="single"/>
          <w:bdr w:val="none" w:sz="0" w:space="0" w:color="auto" w:frame="1"/>
        </w:rPr>
        <w:t>Центр инноваций социальной сферы Волгоградской области.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</w:rPr>
        <w:t>Место нахождения: </w:t>
      </w:r>
      <w:r w:rsidRPr="00092F3F"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</w:rPr>
        <w:t>400012, г. Волгоград, пр-т им. Маршала Советского Союза Г.К. Жукова пр-кт, д.3,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</w:rPr>
        <w:t>Контактная информация:  </w:t>
      </w:r>
      <w:r w:rsidRPr="00092F3F"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</w:rPr>
        <w:t>8(8442) 32-00-05;</w:t>
      </w:r>
    </w:p>
    <w:p w:rsidR="00092F3F" w:rsidRPr="00C57F39" w:rsidRDefault="00092F3F" w:rsidP="00092F3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</w:rPr>
      </w:pP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val="en-US"/>
        </w:rPr>
        <w:t>E</w:t>
      </w: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</w:rPr>
        <w:t>-</w:t>
      </w: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val="en-US"/>
        </w:rPr>
        <w:t>mail</w:t>
      </w: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</w:rPr>
        <w:t>:</w:t>
      </w: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val="en-US"/>
        </w:rPr>
        <w:t> </w:t>
      </w:r>
      <w:hyperlink r:id="rId31" w:history="1"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val="en-US"/>
          </w:rPr>
          <w:t>ciss</w:t>
        </w:r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</w:rPr>
          <w:t>34@</w:t>
        </w:r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val="en-US"/>
          </w:rPr>
          <w:t>mail</w:t>
        </w:r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</w:rPr>
          <w:t>.</w:t>
        </w:r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val="en-US"/>
          </w:rPr>
          <w:t>ru</w:t>
        </w:r>
      </w:hyperlink>
      <w:r w:rsidRPr="00092F3F">
        <w:rPr>
          <w:rFonts w:ascii="PT Serif" w:eastAsia="Times New Roman" w:hAnsi="PT Serif" w:cs="Times New Roman"/>
          <w:color w:val="222222"/>
          <w:sz w:val="24"/>
          <w:szCs w:val="24"/>
          <w:bdr w:val="none" w:sz="0" w:space="0" w:color="auto" w:frame="1"/>
          <w:lang w:val="en-US"/>
        </w:rPr>
        <w:t>   </w:t>
      </w:r>
      <w:r w:rsidRPr="00092F3F"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val="en-US"/>
        </w:rPr>
        <w:t> </w:t>
      </w: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val="en-US"/>
        </w:rPr>
        <w:t>                                                                                                            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val="en-US"/>
        </w:rPr>
        <w:t>    </w:t>
      </w: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</w:rPr>
        <w:t>Сайт:</w:t>
      </w: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val="en-US"/>
        </w:rPr>
        <w:t> </w:t>
      </w:r>
      <w:hyperlink r:id="rId32" w:history="1"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val="en-US"/>
          </w:rPr>
          <w:t>http</w:t>
        </w:r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</w:rPr>
          <w:t>://</w:t>
        </w:r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val="en-US"/>
          </w:rPr>
          <w:t>ciss</w:t>
        </w:r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</w:rPr>
          <w:t>34.</w:t>
        </w:r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val="en-US"/>
          </w:rPr>
          <w:t>ru</w:t>
        </w:r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</w:rPr>
          <w:t>/</w:t>
        </w:r>
      </w:hyperlink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</w:rPr>
        <w:t>Виды деятельности (услуги):         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</w:rPr>
        <w:t> - информационно-аналитическое и юридическое сопровождения;                                                                  - обмен опытом по поддержке социальных инициатив;                                                                                   - проведение обучающих и просветительских мероприятий по развитию компетенций;                       - консультирование по вопросам получения государственной поддержки;                                                - консультирование по вопросам отбора лучших социальных практик и их представление в рамках проводимых открытых мероприятий.</w:t>
      </w:r>
    </w:p>
    <w:p w:rsidR="00092F3F" w:rsidRPr="00774024" w:rsidRDefault="00092F3F" w:rsidP="00774024">
      <w:pPr>
        <w:shd w:val="clear" w:color="auto" w:fill="FFFFFF"/>
        <w:spacing w:after="24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</w:rPr>
      </w:pPr>
      <w:r w:rsidRPr="00092F3F">
        <w:rPr>
          <w:rFonts w:ascii="PT Serif" w:eastAsia="Times New Roman" w:hAnsi="PT Serif" w:cs="Times New Roman"/>
          <w:color w:val="222222"/>
          <w:sz w:val="24"/>
          <w:szCs w:val="24"/>
        </w:rPr>
        <w:t> </w:t>
      </w:r>
    </w:p>
    <w:p w:rsidR="006A7D79" w:rsidRPr="006A7D79" w:rsidRDefault="00001CBA" w:rsidP="006A7D79">
      <w:pPr>
        <w:jc w:val="center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</w:pP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  <w:t>Поддержка субъектам МСП моногородов Волгоградской области</w:t>
      </w:r>
    </w:p>
    <w:p w:rsidR="006A7D79" w:rsidRDefault="006A7D79" w:rsidP="006A7D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91240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001CBA">
        <w:rPr>
          <w:rFonts w:ascii="Times New Roman" w:hAnsi="Times New Roman" w:cs="Times New Roman"/>
          <w:sz w:val="24"/>
          <w:szCs w:val="24"/>
        </w:rPr>
        <w:t xml:space="preserve">реализации регионального проекта </w:t>
      </w:r>
      <w:r w:rsidR="00001CBA" w:rsidRPr="00001CBA">
        <w:rPr>
          <w:rFonts w:ascii="Times New Roman" w:hAnsi="Times New Roman" w:cs="Times New Roman"/>
          <w:sz w:val="24"/>
          <w:szCs w:val="24"/>
        </w:rPr>
        <w:t xml:space="preserve">«Акселерация субъектов малого </w:t>
      </w:r>
      <w:r w:rsidR="00001CBA">
        <w:rPr>
          <w:rFonts w:ascii="Times New Roman" w:hAnsi="Times New Roman" w:cs="Times New Roman"/>
          <w:sz w:val="24"/>
          <w:szCs w:val="24"/>
        </w:rPr>
        <w:t>и среднего предпринимательства» на территории</w:t>
      </w:r>
      <w:r w:rsidR="00BA2A97">
        <w:t xml:space="preserve"> Волгоградской области </w:t>
      </w:r>
      <w:r w:rsidR="00BA2A97">
        <w:rPr>
          <w:rFonts w:ascii="Times New Roman" w:hAnsi="Times New Roman" w:cs="Times New Roman"/>
          <w:sz w:val="24"/>
          <w:szCs w:val="24"/>
        </w:rPr>
        <w:t>был создан</w:t>
      </w:r>
      <w:r w:rsidR="00BA2A97" w:rsidRPr="00BA2A97">
        <w:rPr>
          <w:rFonts w:ascii="Times New Roman" w:hAnsi="Times New Roman" w:cs="Times New Roman"/>
          <w:sz w:val="24"/>
          <w:szCs w:val="24"/>
        </w:rPr>
        <w:t xml:space="preserve"> Фонд</w:t>
      </w:r>
      <w:r w:rsidR="00BA2A97">
        <w:rPr>
          <w:rFonts w:ascii="Times New Roman" w:hAnsi="Times New Roman" w:cs="Times New Roman"/>
          <w:sz w:val="24"/>
          <w:szCs w:val="24"/>
        </w:rPr>
        <w:t xml:space="preserve"> </w:t>
      </w:r>
      <w:r w:rsidR="00BA2A97" w:rsidRPr="00BA2A97">
        <w:rPr>
          <w:rFonts w:ascii="Times New Roman" w:hAnsi="Times New Roman" w:cs="Times New Roman"/>
          <w:sz w:val="24"/>
          <w:szCs w:val="24"/>
        </w:rPr>
        <w:t>микрофинансирования</w:t>
      </w:r>
      <w:r w:rsidR="00BA2A97">
        <w:rPr>
          <w:rFonts w:ascii="Times New Roman" w:hAnsi="Times New Roman" w:cs="Times New Roman"/>
          <w:sz w:val="24"/>
          <w:szCs w:val="24"/>
        </w:rPr>
        <w:t xml:space="preserve"> предпринимательства Волгоградской области.</w:t>
      </w:r>
    </w:p>
    <w:p w:rsidR="008018ED" w:rsidRPr="00BA2A97" w:rsidRDefault="00BA2A97" w:rsidP="00BA2A9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Фондом разработаны </w:t>
      </w:r>
      <w:r w:rsidR="006A7D79" w:rsidRPr="00791240">
        <w:rPr>
          <w:rFonts w:ascii="Times New Roman" w:eastAsia="Times New Roman" w:hAnsi="Times New Roman" w:cs="Times New Roman"/>
          <w:sz w:val="24"/>
          <w:szCs w:val="24"/>
        </w:rPr>
        <w:t>программы микрофинансирования (виды займов), в том числе программа «Моногород» и определены категории субъектов МСП, реализующие приоритетные проекты в моногородах Волгоградской области, которым при предоставлении микрозайма устанавливается низкая процентная ставка – 3,6% годовых.</w:t>
      </w:r>
    </w:p>
    <w:p w:rsidR="008018ED" w:rsidRDefault="008018ED" w:rsidP="004E60B5">
      <w:pPr>
        <w:autoSpaceDE w:val="0"/>
        <w:autoSpaceDN w:val="0"/>
        <w:spacing w:after="0" w:line="240" w:lineRule="exact"/>
        <w:ind w:left="360"/>
        <w:jc w:val="center"/>
        <w:rPr>
          <w:rFonts w:ascii="Times New Roman" w:eastAsia="Times New Roman" w:hAnsi="Times New Roman" w:cs="Times New Roman"/>
          <w:b/>
          <w:kern w:val="32"/>
          <w:sz w:val="18"/>
          <w:szCs w:val="18"/>
        </w:rPr>
      </w:pPr>
    </w:p>
    <w:p w:rsidR="004E60B5" w:rsidRPr="00531BBC" w:rsidRDefault="004E60B5" w:rsidP="004E60B5">
      <w:pPr>
        <w:autoSpaceDE w:val="0"/>
        <w:autoSpaceDN w:val="0"/>
        <w:spacing w:after="0" w:line="240" w:lineRule="exact"/>
        <w:ind w:left="360"/>
        <w:jc w:val="center"/>
        <w:rPr>
          <w:rFonts w:ascii="Times New Roman" w:eastAsia="Times New Roman" w:hAnsi="Times New Roman" w:cs="Times New Roman"/>
          <w:b/>
          <w:kern w:val="32"/>
          <w:sz w:val="16"/>
          <w:szCs w:val="16"/>
        </w:rPr>
      </w:pPr>
      <w:r w:rsidRPr="00531BBC">
        <w:rPr>
          <w:rFonts w:ascii="Times New Roman" w:eastAsia="Times New Roman" w:hAnsi="Times New Roman" w:cs="Times New Roman"/>
          <w:b/>
          <w:kern w:val="32"/>
          <w:sz w:val="16"/>
          <w:szCs w:val="16"/>
        </w:rPr>
        <w:t xml:space="preserve">ПРОГРАММЫ МИКРОФИНАНСИРОВАНИЯ (редакция от 05.08.2019) </w:t>
      </w: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2694"/>
        <w:gridCol w:w="1842"/>
        <w:gridCol w:w="992"/>
        <w:gridCol w:w="850"/>
        <w:gridCol w:w="992"/>
        <w:gridCol w:w="852"/>
        <w:gridCol w:w="1276"/>
      </w:tblGrid>
      <w:tr w:rsidR="004E60B5" w:rsidRPr="00A840D3" w:rsidTr="00A840D3">
        <w:trPr>
          <w:trHeight w:val="832"/>
        </w:trPr>
        <w:tc>
          <w:tcPr>
            <w:tcW w:w="1560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b/>
                <w:i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i/>
                <w:kern w:val="32"/>
                <w:sz w:val="12"/>
                <w:szCs w:val="12"/>
              </w:rPr>
              <w:t>Виды займов</w:t>
            </w:r>
          </w:p>
        </w:tc>
        <w:tc>
          <w:tcPr>
            <w:tcW w:w="2694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b/>
                <w:i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i/>
                <w:kern w:val="32"/>
                <w:sz w:val="12"/>
                <w:szCs w:val="12"/>
              </w:rPr>
              <w:t>Категории заемщиков</w:t>
            </w:r>
          </w:p>
        </w:tc>
        <w:tc>
          <w:tcPr>
            <w:tcW w:w="1842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b/>
                <w:i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i/>
                <w:kern w:val="32"/>
                <w:sz w:val="12"/>
                <w:szCs w:val="12"/>
              </w:rPr>
              <w:t>Срок</w:t>
            </w:r>
          </w:p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i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i/>
                <w:kern w:val="32"/>
                <w:sz w:val="12"/>
                <w:szCs w:val="12"/>
              </w:rPr>
              <w:t xml:space="preserve"> (месяцев)</w:t>
            </w:r>
          </w:p>
        </w:tc>
        <w:tc>
          <w:tcPr>
            <w:tcW w:w="992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b/>
                <w:i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i/>
                <w:kern w:val="32"/>
                <w:sz w:val="12"/>
                <w:szCs w:val="12"/>
              </w:rPr>
              <w:t>Размер займа</w:t>
            </w:r>
          </w:p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i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i/>
                <w:kern w:val="32"/>
                <w:sz w:val="12"/>
                <w:szCs w:val="12"/>
              </w:rPr>
              <w:t>(руб.)</w:t>
            </w:r>
          </w:p>
        </w:tc>
        <w:tc>
          <w:tcPr>
            <w:tcW w:w="850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contextualSpacing/>
              <w:jc w:val="center"/>
              <w:rPr>
                <w:rFonts w:ascii="Times New Roman" w:hAnsi="Times New Roman"/>
                <w:i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i/>
                <w:kern w:val="32"/>
                <w:sz w:val="12"/>
                <w:szCs w:val="12"/>
              </w:rPr>
              <w:t xml:space="preserve">Процентная ставка </w:t>
            </w:r>
          </w:p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contextualSpacing/>
              <w:jc w:val="center"/>
              <w:rPr>
                <w:rFonts w:ascii="Times New Roman" w:hAnsi="Times New Roman"/>
                <w:i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i/>
                <w:kern w:val="32"/>
                <w:sz w:val="12"/>
                <w:szCs w:val="12"/>
              </w:rPr>
              <w:t xml:space="preserve"> (% годовых)</w:t>
            </w:r>
          </w:p>
        </w:tc>
        <w:tc>
          <w:tcPr>
            <w:tcW w:w="992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contextualSpacing/>
              <w:jc w:val="center"/>
              <w:rPr>
                <w:rFonts w:ascii="Times New Roman" w:hAnsi="Times New Roman"/>
                <w:b/>
                <w:i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i/>
                <w:kern w:val="32"/>
                <w:sz w:val="12"/>
                <w:szCs w:val="12"/>
              </w:rPr>
              <w:t xml:space="preserve">Цель </w:t>
            </w:r>
          </w:p>
        </w:tc>
        <w:tc>
          <w:tcPr>
            <w:tcW w:w="852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contextualSpacing/>
              <w:jc w:val="center"/>
              <w:rPr>
                <w:rFonts w:ascii="Times New Roman" w:hAnsi="Times New Roman"/>
                <w:i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kern w:val="32"/>
                <w:sz w:val="12"/>
                <w:szCs w:val="12"/>
              </w:rPr>
              <w:t>Специальные условия</w:t>
            </w:r>
          </w:p>
        </w:tc>
        <w:tc>
          <w:tcPr>
            <w:tcW w:w="1276" w:type="dxa"/>
            <w:vMerge w:val="restart"/>
            <w:vAlign w:val="center"/>
          </w:tcPr>
          <w:p w:rsidR="004E60B5" w:rsidRPr="00A840D3" w:rsidRDefault="004E60B5" w:rsidP="004E60B5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</w:rPr>
              <w:t>Ограничения</w:t>
            </w:r>
          </w:p>
          <w:p w:rsidR="004E60B5" w:rsidRPr="00A840D3" w:rsidRDefault="004E60B5" w:rsidP="004E60B5">
            <w:pPr>
              <w:rPr>
                <w:rFonts w:ascii="Times New Roman" w:hAnsi="Times New Roman"/>
                <w:sz w:val="12"/>
                <w:szCs w:val="12"/>
              </w:rPr>
            </w:pPr>
          </w:p>
          <w:p w:rsidR="004E60B5" w:rsidRPr="00A840D3" w:rsidRDefault="004E60B5" w:rsidP="00A840D3">
            <w:pPr>
              <w:ind w:right="-108"/>
              <w:rPr>
                <w:rFonts w:ascii="Times New Roman" w:hAnsi="Times New Roman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sz w:val="12"/>
                <w:szCs w:val="12"/>
              </w:rPr>
              <w:t xml:space="preserve">Финансируются субъекты МСП, соответствующие требованиям 209-ФЗ "О развитии малого и среднего предпринимательства в Российской Федерации", зарегистрированные на территории Волгоградской </w:t>
            </w:r>
            <w:r w:rsidRPr="00A840D3">
              <w:rPr>
                <w:rFonts w:ascii="Times New Roman" w:hAnsi="Times New Roman"/>
                <w:sz w:val="12"/>
                <w:szCs w:val="12"/>
              </w:rPr>
              <w:lastRenderedPageBreak/>
              <w:t xml:space="preserve">области, </w:t>
            </w:r>
            <w:r w:rsidRPr="00A840D3">
              <w:rPr>
                <w:rFonts w:ascii="Times New Roman" w:hAnsi="Times New Roman"/>
                <w:b/>
                <w:sz w:val="12"/>
                <w:szCs w:val="12"/>
              </w:rPr>
              <w:t xml:space="preserve">за </w:t>
            </w:r>
            <w:r w:rsidRPr="00A840D3">
              <w:rPr>
                <w:rFonts w:ascii="Times New Roman" w:hAnsi="Times New Roman"/>
                <w:b/>
                <w:i/>
                <w:sz w:val="12"/>
                <w:szCs w:val="12"/>
              </w:rPr>
              <w:t>исключением</w:t>
            </w:r>
            <w:r w:rsidRPr="00A840D3">
              <w:rPr>
                <w:rFonts w:ascii="Times New Roman" w:hAnsi="Times New Roman"/>
                <w:b/>
                <w:sz w:val="12"/>
                <w:szCs w:val="12"/>
              </w:rPr>
              <w:t xml:space="preserve"> следующих видов деятельности</w:t>
            </w:r>
            <w:r w:rsidRPr="00A840D3">
              <w:rPr>
                <w:rFonts w:ascii="Times New Roman" w:hAnsi="Times New Roman"/>
                <w:sz w:val="12"/>
                <w:szCs w:val="12"/>
              </w:rPr>
              <w:t>:</w:t>
            </w:r>
          </w:p>
          <w:p w:rsidR="004E60B5" w:rsidRPr="00A840D3" w:rsidRDefault="004E60B5" w:rsidP="004E60B5">
            <w:pPr>
              <w:rPr>
                <w:rFonts w:ascii="Times New Roman" w:hAnsi="Times New Roman"/>
                <w:sz w:val="12"/>
                <w:szCs w:val="12"/>
              </w:rPr>
            </w:pPr>
          </w:p>
          <w:p w:rsidR="004E60B5" w:rsidRPr="00A840D3" w:rsidRDefault="004E60B5" w:rsidP="004E60B5">
            <w:pPr>
              <w:rPr>
                <w:rFonts w:ascii="Times New Roman" w:hAnsi="Times New Roman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sz w:val="12"/>
                <w:szCs w:val="12"/>
              </w:rPr>
              <w:t>• предоставления недвижимого имущества в аренду, субаренду,</w:t>
            </w:r>
          </w:p>
          <w:p w:rsidR="004E60B5" w:rsidRPr="00A840D3" w:rsidRDefault="004E60B5" w:rsidP="004E60B5">
            <w:pPr>
              <w:rPr>
                <w:rFonts w:ascii="Times New Roman" w:hAnsi="Times New Roman"/>
                <w:sz w:val="12"/>
                <w:szCs w:val="12"/>
              </w:rPr>
            </w:pPr>
            <w:r w:rsidRPr="00A840D3">
              <w:rPr>
                <w:sz w:val="12"/>
                <w:szCs w:val="12"/>
              </w:rPr>
              <w:br/>
            </w:r>
            <w:r w:rsidRPr="00A840D3">
              <w:rPr>
                <w:rFonts w:ascii="Times New Roman" w:hAnsi="Times New Roman"/>
                <w:sz w:val="12"/>
                <w:szCs w:val="12"/>
              </w:rPr>
              <w:t>• пассажирские и грузоперевозки,</w:t>
            </w:r>
          </w:p>
          <w:p w:rsidR="004E60B5" w:rsidRPr="00A840D3" w:rsidRDefault="004E60B5" w:rsidP="004E60B5">
            <w:pPr>
              <w:rPr>
                <w:rFonts w:ascii="Times New Roman" w:hAnsi="Times New Roman"/>
                <w:sz w:val="12"/>
                <w:szCs w:val="12"/>
              </w:rPr>
            </w:pPr>
          </w:p>
          <w:p w:rsidR="004E60B5" w:rsidRPr="00A840D3" w:rsidRDefault="004E60B5" w:rsidP="004E60B5">
            <w:pPr>
              <w:rPr>
                <w:rFonts w:ascii="Times New Roman" w:hAnsi="Times New Roman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sz w:val="12"/>
                <w:szCs w:val="12"/>
              </w:rPr>
              <w:t>• осуществляющих покупку недвижимого имущества в целях дальнейшей перепродажи.</w:t>
            </w:r>
          </w:p>
          <w:p w:rsidR="004E60B5" w:rsidRPr="00A840D3" w:rsidRDefault="004E60B5" w:rsidP="004E60B5">
            <w:pPr>
              <w:contextualSpacing/>
              <w:rPr>
                <w:rFonts w:ascii="Times New Roman" w:hAnsi="Times New Roman"/>
                <w:b/>
                <w:i/>
                <w:color w:val="FF0000"/>
                <w:sz w:val="12"/>
                <w:szCs w:val="12"/>
              </w:rPr>
            </w:pPr>
          </w:p>
          <w:p w:rsidR="004E60B5" w:rsidRPr="00A840D3" w:rsidRDefault="004E60B5" w:rsidP="004E60B5">
            <w:pPr>
              <w:rPr>
                <w:rFonts w:ascii="Times New Roman" w:hAnsi="Times New Roman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  <w:p w:rsidR="008018ED" w:rsidRPr="00A840D3" w:rsidRDefault="008018ED" w:rsidP="004E60B5">
            <w:pPr>
              <w:rPr>
                <w:rFonts w:ascii="Times New Roman" w:hAnsi="Times New Roman"/>
                <w:i/>
                <w:kern w:val="32"/>
                <w:sz w:val="12"/>
                <w:szCs w:val="12"/>
              </w:rPr>
            </w:pPr>
          </w:p>
        </w:tc>
      </w:tr>
      <w:tr w:rsidR="004E60B5" w:rsidRPr="00A840D3" w:rsidTr="00A840D3">
        <w:trPr>
          <w:trHeight w:val="1001"/>
        </w:trPr>
        <w:tc>
          <w:tcPr>
            <w:tcW w:w="1560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kern w:val="32"/>
                <w:sz w:val="12"/>
                <w:szCs w:val="12"/>
              </w:rPr>
              <w:t>«Приоритетный»</w:t>
            </w:r>
          </w:p>
        </w:tc>
        <w:tc>
          <w:tcPr>
            <w:tcW w:w="2694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ind w:left="-108"/>
              <w:contextualSpacing/>
              <w:rPr>
                <w:rFonts w:ascii="Times New Roman" w:hAnsi="Times New Roman"/>
                <w:sz w:val="12"/>
                <w:szCs w:val="12"/>
                <w:shd w:val="clear" w:color="auto" w:fill="FFFFFF"/>
              </w:rPr>
            </w:pPr>
            <w:r w:rsidRPr="00A840D3">
              <w:rPr>
                <w:rFonts w:ascii="Times New Roman" w:hAnsi="Times New Roman"/>
                <w:sz w:val="12"/>
                <w:szCs w:val="12"/>
                <w:shd w:val="clear" w:color="auto" w:fill="FFFFFF"/>
              </w:rPr>
              <w:t xml:space="preserve">субъекты малого и среднего предпринимательства реализующие «Приоритетные проекты», согласно таблице №1 </w:t>
            </w:r>
          </w:p>
        </w:tc>
        <w:tc>
          <w:tcPr>
            <w:tcW w:w="1842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24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kern w:val="24"/>
                <w:sz w:val="12"/>
                <w:szCs w:val="12"/>
              </w:rPr>
              <w:t>до 18 мес. – на пополнение оборотных средств;</w:t>
            </w: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24"/>
                <w:sz w:val="12"/>
                <w:szCs w:val="12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kern w:val="24"/>
                <w:sz w:val="12"/>
                <w:szCs w:val="12"/>
              </w:rPr>
              <w:t>до 36  мес. – на инвестиционные цели, рефинансирование</w:t>
            </w:r>
          </w:p>
        </w:tc>
        <w:tc>
          <w:tcPr>
            <w:tcW w:w="992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</w:rPr>
              <w:t>до 3 000 000</w:t>
            </w:r>
          </w:p>
        </w:tc>
        <w:tc>
          <w:tcPr>
            <w:tcW w:w="850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</w:rPr>
              <w:t>ключевая ставка Банка России</w:t>
            </w:r>
          </w:p>
          <w:p w:rsidR="004E60B5" w:rsidRPr="00A840D3" w:rsidRDefault="004E60B5" w:rsidP="004E60B5">
            <w:pPr>
              <w:autoSpaceDE w:val="0"/>
              <w:autoSpaceDN w:val="0"/>
              <w:ind w:left="26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jc w:val="both"/>
              <w:rPr>
                <w:rFonts w:ascii="Times New Roman" w:hAnsi="Times New Roman"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kern w:val="32"/>
                <w:sz w:val="12"/>
                <w:szCs w:val="12"/>
              </w:rPr>
              <w:t>приобретение, ремонт и модернизация основных средств,</w:t>
            </w:r>
          </w:p>
          <w:p w:rsidR="004E60B5" w:rsidRPr="00A840D3" w:rsidRDefault="004E60B5" w:rsidP="004E60B5">
            <w:pPr>
              <w:autoSpaceDE w:val="0"/>
              <w:autoSpaceDN w:val="0"/>
              <w:jc w:val="both"/>
              <w:rPr>
                <w:rFonts w:ascii="Times New Roman" w:hAnsi="Times New Roman"/>
                <w:sz w:val="12"/>
                <w:szCs w:val="12"/>
                <w:shd w:val="clear" w:color="auto" w:fill="FFFFFF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jc w:val="both"/>
              <w:rPr>
                <w:rFonts w:ascii="Times New Roman" w:hAnsi="Times New Roman"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sz w:val="12"/>
                <w:szCs w:val="12"/>
                <w:shd w:val="clear" w:color="auto" w:fill="FFFFFF"/>
              </w:rPr>
              <w:t>рефинансиров</w:t>
            </w:r>
            <w:r w:rsidRPr="00A840D3">
              <w:rPr>
                <w:rFonts w:ascii="Times New Roman" w:hAnsi="Times New Roman"/>
                <w:sz w:val="12"/>
                <w:szCs w:val="12"/>
                <w:shd w:val="clear" w:color="auto" w:fill="FFFFFF"/>
              </w:rPr>
              <w:lastRenderedPageBreak/>
              <w:t>ание/погашение действующих кредитов, займов и/или досрочный выкуп имущества по договорам лизинга</w:t>
            </w:r>
          </w:p>
          <w:p w:rsidR="004E60B5" w:rsidRPr="00A840D3" w:rsidRDefault="004E60B5" w:rsidP="004E60B5">
            <w:pPr>
              <w:autoSpaceDE w:val="0"/>
              <w:autoSpaceDN w:val="0"/>
              <w:jc w:val="both"/>
              <w:rPr>
                <w:rFonts w:ascii="Times New Roman" w:hAnsi="Times New Roman"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kern w:val="32"/>
                <w:sz w:val="12"/>
                <w:szCs w:val="12"/>
              </w:rPr>
              <w:t>приобретение товарно-материальных ценностей</w:t>
            </w:r>
          </w:p>
          <w:p w:rsidR="004E60B5" w:rsidRPr="00A840D3" w:rsidRDefault="004E60B5" w:rsidP="004E60B5">
            <w:pPr>
              <w:autoSpaceDE w:val="0"/>
              <w:autoSpaceDN w:val="0"/>
              <w:jc w:val="center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jc w:val="center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jc w:val="center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jc w:val="center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jc w:val="center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  <w:p w:rsidR="004E60B5" w:rsidRPr="00A840D3" w:rsidRDefault="004E60B5" w:rsidP="00531BBC">
            <w:pPr>
              <w:autoSpaceDE w:val="0"/>
              <w:autoSpaceDN w:val="0"/>
              <w:contextualSpacing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</w:tc>
        <w:tc>
          <w:tcPr>
            <w:tcW w:w="852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</w:p>
        </w:tc>
      </w:tr>
      <w:tr w:rsidR="004E60B5" w:rsidRPr="00A840D3" w:rsidTr="00A840D3">
        <w:trPr>
          <w:trHeight w:val="1581"/>
        </w:trPr>
        <w:tc>
          <w:tcPr>
            <w:tcW w:w="1560" w:type="dxa"/>
            <w:vMerge w:val="restart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ind w:left="66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ind w:left="66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kern w:val="32"/>
                <w:sz w:val="12"/>
                <w:szCs w:val="12"/>
              </w:rPr>
              <w:t>«Моногород»</w:t>
            </w:r>
          </w:p>
        </w:tc>
        <w:tc>
          <w:tcPr>
            <w:tcW w:w="2694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ind w:left="-108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kern w:val="32"/>
                <w:sz w:val="12"/>
                <w:szCs w:val="12"/>
              </w:rPr>
              <w:t xml:space="preserve">субъекты МСП, зарегистрированные и </w:t>
            </w:r>
            <w:r w:rsidRPr="00A840D3">
              <w:rPr>
                <w:rFonts w:ascii="Times New Roman" w:hAnsi="Times New Roman"/>
                <w:sz w:val="12"/>
                <w:szCs w:val="12"/>
              </w:rPr>
              <w:t>осуществляющие свою  деятельность не менее  3 (трех) месяцев на территории монопрофильных муниципальных образований Волгоградской области (г. Фролово, г. Михайловка)</w:t>
            </w:r>
            <w:r w:rsidRPr="00A840D3">
              <w:rPr>
                <w:rFonts w:ascii="Times New Roman" w:hAnsi="Times New Roman"/>
                <w:kern w:val="32"/>
                <w:sz w:val="12"/>
                <w:szCs w:val="12"/>
              </w:rPr>
              <w:t xml:space="preserve"> и соответствующих одному или нескольким условиям «Приоритетного проекта»</w:t>
            </w:r>
          </w:p>
        </w:tc>
        <w:tc>
          <w:tcPr>
            <w:tcW w:w="1842" w:type="dxa"/>
            <w:vMerge w:val="restart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24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kern w:val="24"/>
                <w:sz w:val="12"/>
                <w:szCs w:val="12"/>
              </w:rPr>
              <w:t>до 18 мес. – на пополнение оборотных средств;</w:t>
            </w: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24"/>
                <w:sz w:val="12"/>
                <w:szCs w:val="12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kern w:val="24"/>
                <w:sz w:val="12"/>
                <w:szCs w:val="12"/>
              </w:rPr>
              <w:t>до 36  мес. – на инвестиционные цели, рефинансирование</w:t>
            </w:r>
          </w:p>
        </w:tc>
        <w:tc>
          <w:tcPr>
            <w:tcW w:w="992" w:type="dxa"/>
            <w:vMerge w:val="restart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</w:rPr>
              <w:t>до 3 000 000</w:t>
            </w: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</w:rPr>
              <w:t>Ѕ ключевая ставка Банка России</w:t>
            </w: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kern w:val="32"/>
                <w:sz w:val="12"/>
                <w:szCs w:val="12"/>
              </w:rPr>
              <w:t>(3,6%)</w:t>
            </w:r>
          </w:p>
        </w:tc>
        <w:tc>
          <w:tcPr>
            <w:tcW w:w="992" w:type="dxa"/>
            <w:vMerge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</w:tc>
        <w:tc>
          <w:tcPr>
            <w:tcW w:w="852" w:type="dxa"/>
            <w:vMerge w:val="restart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</w:tc>
      </w:tr>
      <w:tr w:rsidR="004E60B5" w:rsidRPr="00A840D3" w:rsidTr="00A840D3">
        <w:trPr>
          <w:trHeight w:val="1264"/>
        </w:trPr>
        <w:tc>
          <w:tcPr>
            <w:tcW w:w="1560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ind w:left="66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</w:p>
        </w:tc>
        <w:tc>
          <w:tcPr>
            <w:tcW w:w="2694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ind w:left="-108"/>
              <w:contextualSpacing/>
              <w:jc w:val="both"/>
              <w:rPr>
                <w:rFonts w:ascii="Times New Roman" w:hAnsi="Times New Roman"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kern w:val="32"/>
                <w:sz w:val="12"/>
                <w:szCs w:val="12"/>
              </w:rPr>
              <w:t xml:space="preserve">субъекты МСП, зарегистрированные и </w:t>
            </w:r>
            <w:r w:rsidRPr="00A840D3">
              <w:rPr>
                <w:rFonts w:ascii="Times New Roman" w:hAnsi="Times New Roman"/>
                <w:sz w:val="12"/>
                <w:szCs w:val="12"/>
              </w:rPr>
              <w:t>осуществляющие свою  деятельность не менее  3 (трех) месяцев на территории монопрофильных муниципальных образований Волгоградской области</w:t>
            </w:r>
          </w:p>
        </w:tc>
        <w:tc>
          <w:tcPr>
            <w:tcW w:w="1842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</w:p>
        </w:tc>
        <w:tc>
          <w:tcPr>
            <w:tcW w:w="992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</w:rPr>
              <w:t>6%</w:t>
            </w:r>
          </w:p>
          <w:p w:rsidR="004E60B5" w:rsidRPr="00A840D3" w:rsidRDefault="004E60B5" w:rsidP="004E60B5">
            <w:pPr>
              <w:autoSpaceDE w:val="0"/>
              <w:autoSpaceDN w:val="0"/>
              <w:ind w:left="26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</w:tc>
        <w:tc>
          <w:tcPr>
            <w:tcW w:w="852" w:type="dxa"/>
            <w:vMerge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</w:tc>
      </w:tr>
      <w:tr w:rsidR="004E60B5" w:rsidRPr="00A840D3" w:rsidTr="00A840D3">
        <w:trPr>
          <w:trHeight w:val="486"/>
        </w:trPr>
        <w:tc>
          <w:tcPr>
            <w:tcW w:w="1560" w:type="dxa"/>
            <w:vMerge w:val="restart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ind w:left="66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kern w:val="32"/>
                <w:sz w:val="12"/>
                <w:szCs w:val="12"/>
              </w:rPr>
              <w:t>«Основной»</w:t>
            </w:r>
          </w:p>
        </w:tc>
        <w:tc>
          <w:tcPr>
            <w:tcW w:w="2694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ind w:left="-108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ind w:left="-108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sz w:val="12"/>
                <w:szCs w:val="12"/>
              </w:rPr>
              <w:t>субъекты МСП, не указанные в продуктах «Приоритетный» и «Моногород»</w:t>
            </w:r>
          </w:p>
          <w:p w:rsidR="004E60B5" w:rsidRPr="00A840D3" w:rsidRDefault="004E60B5" w:rsidP="004E60B5">
            <w:pPr>
              <w:autoSpaceDE w:val="0"/>
              <w:autoSpaceDN w:val="0"/>
              <w:ind w:left="-108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ind w:left="-108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ind w:left="-108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ind w:left="-108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ind w:left="-108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2" w:type="dxa"/>
            <w:vMerge w:val="restart"/>
          </w:tcPr>
          <w:p w:rsidR="004E60B5" w:rsidRPr="00A840D3" w:rsidRDefault="00531BBC" w:rsidP="00531BBC">
            <w:pPr>
              <w:autoSpaceDE w:val="0"/>
              <w:autoSpaceDN w:val="0"/>
              <w:contextualSpacing/>
              <w:rPr>
                <w:rFonts w:ascii="Times New Roman" w:hAnsi="Times New Roman"/>
                <w:kern w:val="24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kern w:val="24"/>
                <w:sz w:val="12"/>
                <w:szCs w:val="12"/>
              </w:rPr>
              <w:t xml:space="preserve">     </w:t>
            </w:r>
            <w:r w:rsidR="004E60B5" w:rsidRPr="00A840D3">
              <w:rPr>
                <w:rFonts w:ascii="Times New Roman" w:hAnsi="Times New Roman"/>
                <w:kern w:val="24"/>
                <w:sz w:val="12"/>
                <w:szCs w:val="12"/>
              </w:rPr>
              <w:t>до 18 мес. – на пополнение оборотных средств;</w:t>
            </w: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24"/>
                <w:sz w:val="12"/>
                <w:szCs w:val="12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24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kern w:val="24"/>
                <w:sz w:val="12"/>
                <w:szCs w:val="12"/>
              </w:rPr>
              <w:t>до 36  мес. – на инвестиционные цели, рефинансирование</w:t>
            </w:r>
          </w:p>
        </w:tc>
        <w:tc>
          <w:tcPr>
            <w:tcW w:w="992" w:type="dxa"/>
            <w:vMerge w:val="restart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</w:rPr>
              <w:t>до 3 000 000</w:t>
            </w:r>
          </w:p>
        </w:tc>
        <w:tc>
          <w:tcPr>
            <w:tcW w:w="850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</w:rPr>
              <w:t>8,5%</w:t>
            </w:r>
          </w:p>
          <w:p w:rsidR="004E60B5" w:rsidRPr="00A840D3" w:rsidRDefault="004E60B5" w:rsidP="004E60B5">
            <w:pPr>
              <w:autoSpaceDE w:val="0"/>
              <w:autoSpaceDN w:val="0"/>
              <w:ind w:left="26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</w:p>
        </w:tc>
        <w:tc>
          <w:tcPr>
            <w:tcW w:w="992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</w:tc>
        <w:tc>
          <w:tcPr>
            <w:tcW w:w="852" w:type="dxa"/>
            <w:vMerge w:val="restart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</w:tc>
      </w:tr>
      <w:tr w:rsidR="004E60B5" w:rsidRPr="00A840D3" w:rsidTr="00A840D3">
        <w:trPr>
          <w:trHeight w:val="971"/>
        </w:trPr>
        <w:tc>
          <w:tcPr>
            <w:tcW w:w="1560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ind w:left="66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</w:p>
        </w:tc>
        <w:tc>
          <w:tcPr>
            <w:tcW w:w="2694" w:type="dxa"/>
            <w:vAlign w:val="center"/>
          </w:tcPr>
          <w:p w:rsidR="004E60B5" w:rsidRPr="00A840D3" w:rsidRDefault="004E60B5" w:rsidP="004E60B5">
            <w:pPr>
              <w:spacing w:line="240" w:lineRule="exact"/>
              <w:jc w:val="both"/>
              <w:rPr>
                <w:rFonts w:ascii="Times New Roman" w:hAnsi="Times New Roman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sz w:val="12"/>
                <w:szCs w:val="12"/>
              </w:rPr>
              <w:t>субъекты МСП, финалисты</w:t>
            </w:r>
          </w:p>
          <w:p w:rsidR="004E60B5" w:rsidRPr="00A840D3" w:rsidRDefault="004E60B5" w:rsidP="004E60B5">
            <w:pPr>
              <w:spacing w:line="240" w:lineRule="exact"/>
              <w:jc w:val="both"/>
              <w:rPr>
                <w:rFonts w:ascii="Times New Roman" w:hAnsi="Times New Roman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sz w:val="12"/>
                <w:szCs w:val="12"/>
              </w:rPr>
              <w:t>регионального конкурса "Поколение успеха"</w:t>
            </w:r>
          </w:p>
          <w:p w:rsidR="004E60B5" w:rsidRPr="00A840D3" w:rsidRDefault="004E60B5" w:rsidP="004E60B5">
            <w:pPr>
              <w:autoSpaceDE w:val="0"/>
              <w:autoSpaceDN w:val="0"/>
              <w:ind w:left="-108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2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24"/>
                <w:sz w:val="12"/>
                <w:szCs w:val="12"/>
              </w:rPr>
            </w:pPr>
          </w:p>
        </w:tc>
        <w:tc>
          <w:tcPr>
            <w:tcW w:w="992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ind w:left="26"/>
              <w:contextualSpacing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</w:rPr>
              <w:t>5%</w:t>
            </w:r>
          </w:p>
        </w:tc>
        <w:tc>
          <w:tcPr>
            <w:tcW w:w="992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</w:tc>
        <w:tc>
          <w:tcPr>
            <w:tcW w:w="852" w:type="dxa"/>
            <w:vMerge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</w:tc>
      </w:tr>
      <w:tr w:rsidR="004E60B5" w:rsidRPr="00A840D3" w:rsidTr="00A840D3">
        <w:tc>
          <w:tcPr>
            <w:tcW w:w="1560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bCs/>
                <w:sz w:val="12"/>
                <w:szCs w:val="12"/>
              </w:rPr>
              <w:t>«Экспортер»</w:t>
            </w:r>
          </w:p>
        </w:tc>
        <w:tc>
          <w:tcPr>
            <w:tcW w:w="2694" w:type="dxa"/>
            <w:vAlign w:val="center"/>
          </w:tcPr>
          <w:p w:rsidR="004E60B5" w:rsidRPr="00A840D3" w:rsidRDefault="004E60B5" w:rsidP="004E60B5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sz w:val="12"/>
                <w:szCs w:val="12"/>
              </w:rPr>
              <w:t xml:space="preserve">Субъект МСП  осуществляющий экспортную деятельность </w:t>
            </w:r>
          </w:p>
          <w:p w:rsidR="004E60B5" w:rsidRPr="00A840D3" w:rsidRDefault="004E60B5" w:rsidP="004E60B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2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24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kern w:val="24"/>
                <w:sz w:val="12"/>
                <w:szCs w:val="12"/>
              </w:rPr>
              <w:t>до 18 мес. – на пополнение оборотных средств;</w:t>
            </w: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24"/>
                <w:sz w:val="12"/>
                <w:szCs w:val="12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24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kern w:val="24"/>
                <w:sz w:val="12"/>
                <w:szCs w:val="12"/>
              </w:rPr>
              <w:t>до 36  мес. – на инвестиционные цели, рефинансирование</w:t>
            </w:r>
          </w:p>
        </w:tc>
        <w:tc>
          <w:tcPr>
            <w:tcW w:w="992" w:type="dxa"/>
            <w:vAlign w:val="center"/>
          </w:tcPr>
          <w:p w:rsidR="004E60B5" w:rsidRPr="00A840D3" w:rsidRDefault="004E60B5" w:rsidP="004E60B5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</w:rPr>
              <w:t>от 300 000 –</w:t>
            </w:r>
          </w:p>
          <w:p w:rsidR="004E60B5" w:rsidRPr="00A840D3" w:rsidRDefault="004E60B5" w:rsidP="004E60B5">
            <w:pPr>
              <w:jc w:val="center"/>
              <w:textAlignment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</w:rPr>
              <w:t xml:space="preserve"> 3 000 000</w:t>
            </w: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</w:rPr>
              <w:t>6%</w:t>
            </w:r>
          </w:p>
          <w:p w:rsidR="004E60B5" w:rsidRPr="00A840D3" w:rsidRDefault="004E60B5" w:rsidP="004E60B5">
            <w:pPr>
              <w:autoSpaceDE w:val="0"/>
              <w:autoSpaceDN w:val="0"/>
              <w:ind w:left="34"/>
              <w:contextualSpacing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sz w:val="12"/>
                <w:szCs w:val="12"/>
              </w:rPr>
              <w:t>Наличие международного контракта, который  должен быть подписан сторонами, скреплен печатью, представлен в Фонд в оригинале или нотариально заверенной копии.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both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</w:tc>
      </w:tr>
      <w:tr w:rsidR="008018ED" w:rsidRPr="00A840D3" w:rsidTr="00A840D3">
        <w:trPr>
          <w:trHeight w:val="840"/>
        </w:trPr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kern w:val="32"/>
                <w:sz w:val="12"/>
                <w:szCs w:val="12"/>
              </w:rPr>
              <w:t>«Старт»</w:t>
            </w:r>
          </w:p>
          <w:p w:rsidR="004E60B5" w:rsidRPr="00A840D3" w:rsidRDefault="004E60B5" w:rsidP="004E60B5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sz w:val="12"/>
                <w:szCs w:val="12"/>
              </w:rPr>
              <w:t>Поддержка субъектов малого и среднего предпринимательства, осуществляющих свою  деятельность не менее  3 (трех) месяцев и зарегистрированные в качестве субъектов МСП не более  12 (двенадцати) месяцев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4E60B5" w:rsidRPr="00A840D3" w:rsidRDefault="004E60B5" w:rsidP="004E60B5">
            <w:pPr>
              <w:rPr>
                <w:rFonts w:ascii="Times New Roman" w:hAnsi="Times New Roman"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sz w:val="12"/>
                <w:szCs w:val="12"/>
              </w:rPr>
              <w:t>а) субъекты МСП, зарегистрированные и осуществляющие деятельность на территории моногорода и соответствующих одному из условий «Приоритетного проекта»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kern w:val="24"/>
                <w:sz w:val="12"/>
                <w:szCs w:val="12"/>
              </w:rPr>
              <w:t>от 3 до 24 мес.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4E60B5" w:rsidRPr="00A840D3" w:rsidRDefault="004E60B5" w:rsidP="00531BBC">
            <w:pPr>
              <w:autoSpaceDE w:val="0"/>
              <w:autoSpaceDN w:val="0"/>
              <w:contextualSpacing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</w:rPr>
              <w:t>от 300 000 до</w:t>
            </w: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</w:rPr>
              <w:t xml:space="preserve"> 1 000 000 </w:t>
            </w: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</w:rPr>
              <w:t>Ѕ ключевая ставка Банка России</w:t>
            </w:r>
          </w:p>
          <w:p w:rsidR="004E60B5" w:rsidRPr="00A840D3" w:rsidRDefault="004E60B5" w:rsidP="004E60B5">
            <w:pPr>
              <w:ind w:left="34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kern w:val="32"/>
                <w:sz w:val="12"/>
                <w:szCs w:val="12"/>
              </w:rPr>
              <w:t>приобретение, ремонт и модернизация основных средств,</w:t>
            </w:r>
          </w:p>
          <w:p w:rsidR="004E60B5" w:rsidRPr="00A840D3" w:rsidRDefault="004E60B5" w:rsidP="004E60B5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rPr>
                <w:rFonts w:ascii="Times New Roman" w:hAnsi="Times New Roman"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kern w:val="32"/>
                <w:sz w:val="12"/>
                <w:szCs w:val="12"/>
              </w:rPr>
              <w:t>приобретение товарно-материальных ценностей</w:t>
            </w: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</w:tcBorders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sz w:val="12"/>
                <w:szCs w:val="12"/>
              </w:rPr>
              <w:t>Наличие «Бизнес-плана» и подтверждение факта собственного финансового участия в размере не менее 10% от полной стоимости проекта.</w:t>
            </w: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both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</w:tc>
      </w:tr>
      <w:tr w:rsidR="004E60B5" w:rsidRPr="00A840D3" w:rsidTr="00A840D3">
        <w:trPr>
          <w:trHeight w:val="1473"/>
        </w:trPr>
        <w:tc>
          <w:tcPr>
            <w:tcW w:w="1560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</w:p>
        </w:tc>
        <w:tc>
          <w:tcPr>
            <w:tcW w:w="2694" w:type="dxa"/>
            <w:vAlign w:val="center"/>
          </w:tcPr>
          <w:p w:rsidR="004E60B5" w:rsidRPr="00A840D3" w:rsidRDefault="004E60B5" w:rsidP="004E60B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sz w:val="12"/>
                <w:szCs w:val="12"/>
              </w:rPr>
              <w:t>б) субъекты МСП, не указанные в пункте а)</w:t>
            </w:r>
          </w:p>
        </w:tc>
        <w:tc>
          <w:tcPr>
            <w:tcW w:w="1842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24"/>
                <w:sz w:val="12"/>
                <w:szCs w:val="12"/>
              </w:rPr>
            </w:pPr>
          </w:p>
        </w:tc>
        <w:tc>
          <w:tcPr>
            <w:tcW w:w="992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</w:rPr>
              <w:t>6%</w:t>
            </w:r>
          </w:p>
        </w:tc>
        <w:tc>
          <w:tcPr>
            <w:tcW w:w="992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</w:tc>
        <w:tc>
          <w:tcPr>
            <w:tcW w:w="852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both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</w:tc>
      </w:tr>
      <w:tr w:rsidR="004E60B5" w:rsidRPr="00A840D3" w:rsidTr="00A840D3">
        <w:trPr>
          <w:trHeight w:val="829"/>
        </w:trPr>
        <w:tc>
          <w:tcPr>
            <w:tcW w:w="1560" w:type="dxa"/>
            <w:vMerge w:val="restart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ind w:left="66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ind w:left="66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kern w:val="32"/>
                <w:sz w:val="12"/>
                <w:szCs w:val="12"/>
              </w:rPr>
              <w:t>«Беззалоговый старт»</w:t>
            </w:r>
          </w:p>
        </w:tc>
        <w:tc>
          <w:tcPr>
            <w:tcW w:w="2694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ind w:left="-108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kern w:val="32"/>
                <w:sz w:val="12"/>
                <w:szCs w:val="12"/>
              </w:rPr>
              <w:t xml:space="preserve">а) субъекты МСП, зарегистрированные и </w:t>
            </w:r>
            <w:r w:rsidRPr="00A840D3">
              <w:rPr>
                <w:rFonts w:ascii="Times New Roman" w:hAnsi="Times New Roman"/>
                <w:sz w:val="12"/>
                <w:szCs w:val="12"/>
              </w:rPr>
              <w:t>осуществляющие свою  деятельность не менее 3 (трех) и не более 12 месяцев на территории монопрофильных муниципальных образований Волгоградской области (г. Фролово, г. Михайловка)</w:t>
            </w:r>
            <w:r w:rsidRPr="00A840D3">
              <w:rPr>
                <w:rFonts w:ascii="Times New Roman" w:hAnsi="Times New Roman"/>
                <w:kern w:val="32"/>
                <w:sz w:val="12"/>
                <w:szCs w:val="12"/>
              </w:rPr>
              <w:t xml:space="preserve"> или соответствующие одному или нескольким условиям «Приоритетного проекта»</w:t>
            </w:r>
            <w:r w:rsidRPr="00A840D3">
              <w:rPr>
                <w:rFonts w:ascii="Times New Roman" w:hAnsi="Times New Roman"/>
                <w:sz w:val="12"/>
                <w:szCs w:val="12"/>
                <w:shd w:val="clear" w:color="auto" w:fill="FFFFFF"/>
              </w:rPr>
              <w:t xml:space="preserve"> согласно таблице №1</w:t>
            </w:r>
          </w:p>
        </w:tc>
        <w:tc>
          <w:tcPr>
            <w:tcW w:w="1842" w:type="dxa"/>
            <w:vMerge w:val="restart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kern w:val="24"/>
                <w:sz w:val="12"/>
                <w:szCs w:val="12"/>
              </w:rPr>
              <w:t>от 3 до 24 мес.</w:t>
            </w:r>
          </w:p>
        </w:tc>
        <w:tc>
          <w:tcPr>
            <w:tcW w:w="992" w:type="dxa"/>
            <w:vMerge w:val="restart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</w:rPr>
              <w:t>От 300 000 до 1 000 000</w:t>
            </w: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</w:rPr>
              <w:t>7%</w:t>
            </w:r>
          </w:p>
        </w:tc>
        <w:tc>
          <w:tcPr>
            <w:tcW w:w="992" w:type="dxa"/>
            <w:vMerge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</w:tc>
        <w:tc>
          <w:tcPr>
            <w:tcW w:w="852" w:type="dxa"/>
            <w:vMerge w:val="restart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sz w:val="12"/>
                <w:szCs w:val="12"/>
              </w:rPr>
              <w:t xml:space="preserve">Наличие «Бизнес-плана» и подтверждение факта собственного </w:t>
            </w:r>
            <w:r w:rsidRPr="00A840D3">
              <w:rPr>
                <w:rFonts w:ascii="Times New Roman" w:hAnsi="Times New Roman"/>
                <w:sz w:val="12"/>
                <w:szCs w:val="12"/>
              </w:rPr>
              <w:lastRenderedPageBreak/>
              <w:t>финансового участия в размере не менее 10% от полной стоимости проекта.</w:t>
            </w: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sz w:val="12"/>
                <w:szCs w:val="12"/>
              </w:rPr>
              <w:t>Наличие 2 (двух) поручителей – физических лиц.</w:t>
            </w: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</w:tc>
      </w:tr>
      <w:tr w:rsidR="004E60B5" w:rsidRPr="00A840D3" w:rsidTr="00A840D3">
        <w:trPr>
          <w:trHeight w:val="3831"/>
        </w:trPr>
        <w:tc>
          <w:tcPr>
            <w:tcW w:w="1560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ind w:left="66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</w:rPr>
            </w:pPr>
          </w:p>
        </w:tc>
        <w:tc>
          <w:tcPr>
            <w:tcW w:w="2694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ind w:left="-108"/>
              <w:contextualSpacing/>
              <w:jc w:val="both"/>
              <w:rPr>
                <w:rFonts w:ascii="Times New Roman" w:hAnsi="Times New Roman"/>
                <w:kern w:val="32"/>
                <w:sz w:val="12"/>
                <w:szCs w:val="12"/>
              </w:rPr>
            </w:pPr>
            <w:r w:rsidRPr="00A840D3">
              <w:rPr>
                <w:rFonts w:ascii="Times New Roman" w:hAnsi="Times New Roman"/>
                <w:kern w:val="32"/>
                <w:sz w:val="12"/>
                <w:szCs w:val="12"/>
              </w:rPr>
              <w:t xml:space="preserve">б) субъекты МСП, зарегистрированные и </w:t>
            </w:r>
            <w:r w:rsidRPr="00A840D3">
              <w:rPr>
                <w:rFonts w:ascii="Times New Roman" w:hAnsi="Times New Roman"/>
                <w:sz w:val="12"/>
                <w:szCs w:val="12"/>
              </w:rPr>
              <w:t>осуществляющие свою  деятельность не менее 3 (трех) и не более 12 месяцев, не указанные в пункте а)</w:t>
            </w:r>
          </w:p>
        </w:tc>
        <w:tc>
          <w:tcPr>
            <w:tcW w:w="1842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24"/>
                <w:sz w:val="12"/>
                <w:szCs w:val="12"/>
              </w:rPr>
            </w:pPr>
          </w:p>
        </w:tc>
        <w:tc>
          <w:tcPr>
            <w:tcW w:w="992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</w:rPr>
              <w:t>12%</w:t>
            </w:r>
          </w:p>
        </w:tc>
        <w:tc>
          <w:tcPr>
            <w:tcW w:w="992" w:type="dxa"/>
            <w:vMerge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</w:tc>
        <w:tc>
          <w:tcPr>
            <w:tcW w:w="852" w:type="dxa"/>
            <w:vMerge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</w:rPr>
            </w:pPr>
          </w:p>
        </w:tc>
      </w:tr>
    </w:tbl>
    <w:p w:rsidR="00E17639" w:rsidRDefault="00E17639" w:rsidP="00BA2A97">
      <w:pPr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b/>
          <w:i/>
          <w:kern w:val="32"/>
          <w:sz w:val="18"/>
          <w:szCs w:val="18"/>
        </w:rPr>
      </w:pPr>
    </w:p>
    <w:p w:rsidR="00E17639" w:rsidRDefault="00E17639" w:rsidP="004E60B5">
      <w:pPr>
        <w:autoSpaceDE w:val="0"/>
        <w:autoSpaceDN w:val="0"/>
        <w:spacing w:after="0" w:line="240" w:lineRule="exact"/>
        <w:ind w:left="360"/>
        <w:jc w:val="right"/>
        <w:rPr>
          <w:rFonts w:ascii="Times New Roman" w:eastAsia="Times New Roman" w:hAnsi="Times New Roman" w:cs="Times New Roman"/>
          <w:b/>
          <w:i/>
          <w:kern w:val="32"/>
          <w:sz w:val="18"/>
          <w:szCs w:val="18"/>
        </w:rPr>
      </w:pPr>
    </w:p>
    <w:p w:rsidR="004E60B5" w:rsidRPr="006928E3" w:rsidRDefault="004E60B5" w:rsidP="004E60B5">
      <w:pPr>
        <w:autoSpaceDE w:val="0"/>
        <w:autoSpaceDN w:val="0"/>
        <w:spacing w:after="0" w:line="240" w:lineRule="exact"/>
        <w:ind w:left="360"/>
        <w:jc w:val="right"/>
        <w:rPr>
          <w:rFonts w:ascii="Times New Roman" w:eastAsia="Times New Roman" w:hAnsi="Times New Roman" w:cs="Times New Roman"/>
          <w:kern w:val="32"/>
          <w:sz w:val="18"/>
          <w:szCs w:val="18"/>
        </w:rPr>
      </w:pPr>
      <w:r w:rsidRPr="006928E3">
        <w:rPr>
          <w:rFonts w:ascii="Times New Roman" w:eastAsia="Times New Roman" w:hAnsi="Times New Roman" w:cs="Times New Roman"/>
          <w:b/>
          <w:i/>
          <w:kern w:val="32"/>
          <w:sz w:val="18"/>
          <w:szCs w:val="18"/>
        </w:rPr>
        <w:t>Под приоритетными понимаются проектами, которые удовлетворяют одному или нескольким условиям:</w:t>
      </w:r>
      <w:r w:rsidRPr="006928E3">
        <w:rPr>
          <w:rFonts w:ascii="Times New Roman" w:eastAsia="Times New Roman" w:hAnsi="Times New Roman" w:cs="Times New Roman"/>
          <w:kern w:val="32"/>
          <w:sz w:val="18"/>
          <w:szCs w:val="18"/>
        </w:rPr>
        <w:t xml:space="preserve">             </w:t>
      </w:r>
    </w:p>
    <w:p w:rsidR="004E60B5" w:rsidRPr="006928E3" w:rsidRDefault="004E60B5" w:rsidP="004E60B5">
      <w:pPr>
        <w:autoSpaceDE w:val="0"/>
        <w:autoSpaceDN w:val="0"/>
        <w:spacing w:after="0" w:line="240" w:lineRule="exact"/>
        <w:ind w:left="360"/>
        <w:jc w:val="right"/>
        <w:rPr>
          <w:rFonts w:ascii="Times New Roman" w:eastAsia="Times New Roman" w:hAnsi="Times New Roman" w:cs="Times New Roman"/>
          <w:kern w:val="32"/>
          <w:sz w:val="18"/>
          <w:szCs w:val="18"/>
        </w:rPr>
      </w:pPr>
    </w:p>
    <w:p w:rsidR="004E60B5" w:rsidRPr="006928E3" w:rsidRDefault="004E60B5" w:rsidP="004E60B5">
      <w:pPr>
        <w:autoSpaceDE w:val="0"/>
        <w:autoSpaceDN w:val="0"/>
        <w:spacing w:after="0" w:line="240" w:lineRule="exact"/>
        <w:ind w:left="360"/>
        <w:jc w:val="right"/>
        <w:rPr>
          <w:rFonts w:ascii="Times New Roman" w:eastAsia="Times New Roman" w:hAnsi="Times New Roman" w:cs="Times New Roman"/>
          <w:kern w:val="32"/>
          <w:sz w:val="18"/>
          <w:szCs w:val="18"/>
        </w:rPr>
      </w:pPr>
      <w:r w:rsidRPr="006928E3">
        <w:rPr>
          <w:rFonts w:ascii="Times New Roman" w:eastAsia="Times New Roman" w:hAnsi="Times New Roman" w:cs="Times New Roman"/>
          <w:kern w:val="32"/>
          <w:sz w:val="18"/>
          <w:szCs w:val="18"/>
        </w:rPr>
        <w:t>(Таблица 1)</w:t>
      </w:r>
    </w:p>
    <w:tbl>
      <w:tblPr>
        <w:tblStyle w:val="a3"/>
        <w:tblW w:w="11199" w:type="dxa"/>
        <w:tblInd w:w="-318" w:type="dxa"/>
        <w:tblLook w:val="04A0" w:firstRow="1" w:lastRow="0" w:firstColumn="1" w:lastColumn="0" w:noHBand="0" w:noVBand="1"/>
      </w:tblPr>
      <w:tblGrid>
        <w:gridCol w:w="11199"/>
      </w:tblGrid>
      <w:tr w:rsidR="004E60B5" w:rsidRPr="006928E3" w:rsidTr="00A840D3">
        <w:tc>
          <w:tcPr>
            <w:tcW w:w="11199" w:type="dxa"/>
          </w:tcPr>
          <w:p w:rsidR="004E60B5" w:rsidRPr="006928E3" w:rsidRDefault="00E17639" w:rsidP="00E17639">
            <w:pPr>
              <w:autoSpaceDE w:val="0"/>
              <w:autoSpaceDN w:val="0"/>
              <w:spacing w:line="240" w:lineRule="exact"/>
              <w:contextualSpacing/>
              <w:rPr>
                <w:rFonts w:ascii="Times New Roman" w:hAnsi="Times New Roman"/>
                <w:kern w:val="3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1. </w:t>
            </w:r>
            <w:r w:rsidR="004E60B5" w:rsidRPr="006928E3">
              <w:rPr>
                <w:rFonts w:ascii="Times New Roman" w:hAnsi="Times New Roman"/>
                <w:bCs/>
                <w:sz w:val="18"/>
                <w:szCs w:val="18"/>
              </w:rPr>
              <w:t xml:space="preserve"> Субъект малого и среднего предпринимательства зарегистрирован и осуществляет деятельность на территориях опережающего социально-экономического развития Российской Федерации, особой экономической зоны Российской Федерации и включен в реестр резидентов таких территорий;</w:t>
            </w:r>
          </w:p>
        </w:tc>
      </w:tr>
      <w:tr w:rsidR="004E60B5" w:rsidRPr="006928E3" w:rsidTr="00A840D3">
        <w:tc>
          <w:tcPr>
            <w:tcW w:w="11199" w:type="dxa"/>
          </w:tcPr>
          <w:p w:rsidR="004E60B5" w:rsidRPr="006928E3" w:rsidRDefault="00E17639" w:rsidP="00E17639">
            <w:pPr>
              <w:autoSpaceDE w:val="0"/>
              <w:autoSpaceDN w:val="0"/>
              <w:spacing w:line="240" w:lineRule="exact"/>
              <w:contextualSpacing/>
              <w:rPr>
                <w:rFonts w:ascii="Times New Roman" w:hAnsi="Times New Roman"/>
                <w:kern w:val="3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2. </w:t>
            </w:r>
            <w:r w:rsidR="004E60B5" w:rsidRPr="006928E3">
              <w:rPr>
                <w:rFonts w:ascii="Times New Roman" w:hAnsi="Times New Roman"/>
                <w:sz w:val="18"/>
                <w:szCs w:val="18"/>
              </w:rPr>
              <w:t>Субъект малого и среднего предпринимательства является резидентом промышленного (индустриального) парка, агропромышленного парка, технопарка, промышленного технопарка, бизнес-инкубатора и включен в реестр резидентов таких организаций, образующих инфраструктуру поддержки субъектов малого и среднего предпринимательства</w:t>
            </w:r>
          </w:p>
        </w:tc>
      </w:tr>
      <w:tr w:rsidR="004E60B5" w:rsidRPr="006928E3" w:rsidTr="00A840D3">
        <w:tc>
          <w:tcPr>
            <w:tcW w:w="11199" w:type="dxa"/>
          </w:tcPr>
          <w:p w:rsidR="004E60B5" w:rsidRPr="006928E3" w:rsidRDefault="00E17639" w:rsidP="00E1763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kern w:val="32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3. </w:t>
            </w:r>
            <w:r w:rsidR="004E60B5" w:rsidRPr="006928E3">
              <w:rPr>
                <w:rFonts w:ascii="Times New Roman" w:hAnsi="Times New Roman"/>
                <w:bCs/>
                <w:sz w:val="18"/>
                <w:szCs w:val="18"/>
              </w:rPr>
              <w:t xml:space="preserve">Субъект малого и среднего предпринимательства </w:t>
            </w:r>
            <w:r w:rsidR="004E60B5" w:rsidRPr="006928E3">
              <w:rPr>
                <w:rFonts w:ascii="Times New Roman" w:hAnsi="Times New Roman"/>
                <w:b/>
                <w:bCs/>
                <w:sz w:val="18"/>
                <w:szCs w:val="18"/>
              </w:rPr>
              <w:t>создан женщиной</w:t>
            </w:r>
            <w:r w:rsidR="004E60B5" w:rsidRPr="006928E3">
              <w:rPr>
                <w:rFonts w:ascii="Times New Roman" w:hAnsi="Times New Roman"/>
                <w:bCs/>
                <w:sz w:val="18"/>
                <w:szCs w:val="18"/>
              </w:rPr>
              <w:t>, зарегистрированной в качестве индивидуального предпринимателя или являющейся единоличным исполнительным органом юридического лица и (или) женщинами, являющимися учредителями (участниками) юридического лица, а их доля в уставном капитале общества с ограниченной ответственностью либо складочном капитале хозяйственного товарищества составляет не менее 50%, либо не менее чем 50% голосующих акций акционерного общества.</w:t>
            </w:r>
          </w:p>
        </w:tc>
      </w:tr>
      <w:tr w:rsidR="004E60B5" w:rsidRPr="006928E3" w:rsidTr="00A840D3">
        <w:tc>
          <w:tcPr>
            <w:tcW w:w="11199" w:type="dxa"/>
          </w:tcPr>
          <w:p w:rsidR="004E60B5" w:rsidRPr="006928E3" w:rsidRDefault="00E17639" w:rsidP="00E1763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4. </w:t>
            </w:r>
            <w:r w:rsidR="004E60B5" w:rsidRPr="006928E3">
              <w:rPr>
                <w:rFonts w:ascii="Times New Roman" w:hAnsi="Times New Roman"/>
                <w:bCs/>
                <w:sz w:val="18"/>
                <w:szCs w:val="18"/>
              </w:rPr>
              <w:t>Субъект малого и среднего предпринимательства является сельскохозяйственным производственным или потребительским кооперативом или членом сельскохозяйственного потребительского кооператива - крестьянским (фермерским) хозяйством в соответствии с Федеральным законом от 8 декабря 1995 г. N 193-ФЗ "О сельскохозяйственной кооперации" или главой крестьянского (фермерского) хозяйства.</w:t>
            </w:r>
          </w:p>
        </w:tc>
      </w:tr>
      <w:tr w:rsidR="004E60B5" w:rsidRPr="006928E3" w:rsidTr="00A840D3">
        <w:tc>
          <w:tcPr>
            <w:tcW w:w="11199" w:type="dxa"/>
          </w:tcPr>
          <w:p w:rsidR="004E60B5" w:rsidRPr="006928E3" w:rsidRDefault="00E17639" w:rsidP="00E1763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bookmarkStart w:id="1" w:name="Par0"/>
            <w:bookmarkEnd w:id="1"/>
            <w:r>
              <w:rPr>
                <w:rFonts w:ascii="Times New Roman" w:hAnsi="Times New Roman"/>
                <w:sz w:val="18"/>
                <w:szCs w:val="18"/>
              </w:rPr>
              <w:t xml:space="preserve">5. </w:t>
            </w:r>
            <w:r w:rsidR="004E60B5" w:rsidRPr="006928E3">
              <w:rPr>
                <w:rFonts w:ascii="Times New Roman" w:hAnsi="Times New Roman"/>
                <w:sz w:val="18"/>
                <w:szCs w:val="18"/>
              </w:rPr>
              <w:t xml:space="preserve">Субъект </w:t>
            </w:r>
            <w:r w:rsidR="004E60B5" w:rsidRPr="006928E3">
              <w:rPr>
                <w:rFonts w:ascii="Times New Roman" w:hAnsi="Times New Roman"/>
                <w:bCs/>
                <w:sz w:val="18"/>
                <w:szCs w:val="18"/>
              </w:rPr>
              <w:t xml:space="preserve">малого и среднего предпринимательства </w:t>
            </w:r>
            <w:r w:rsidR="004E60B5" w:rsidRPr="006928E3">
              <w:rPr>
                <w:rFonts w:ascii="Times New Roman" w:hAnsi="Times New Roman"/>
                <w:b/>
                <w:bCs/>
                <w:sz w:val="18"/>
                <w:szCs w:val="18"/>
              </w:rPr>
              <w:t>является субъектом социального предпринимательства</w:t>
            </w:r>
            <w:r w:rsidR="004E60B5" w:rsidRPr="006928E3">
              <w:rPr>
                <w:rFonts w:ascii="Times New Roman" w:hAnsi="Times New Roman"/>
                <w:sz w:val="18"/>
                <w:szCs w:val="18"/>
              </w:rPr>
              <w:t xml:space="preserve"> при одном из условий:</w:t>
            </w:r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28E3">
              <w:rPr>
                <w:rFonts w:ascii="Times New Roman" w:hAnsi="Times New Roman"/>
                <w:sz w:val="18"/>
                <w:szCs w:val="18"/>
              </w:rPr>
              <w:t xml:space="preserve"> а) субъект малого и среднего предпринимательства обеспечивает занятость следующих категорий граждан при условии, что по итогам предыдущего календарного года среднесписочная численность лиц, относящихся к любой из указанных категорий (нескольким или всем указанным категориям), среди работников субъекта малого и среднего предпринимательства составляет не менее 50%, а доля в фонде оплаты труда - не менее 25%:</w:t>
            </w:r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firstLine="66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28E3">
              <w:rPr>
                <w:rFonts w:ascii="Times New Roman" w:hAnsi="Times New Roman"/>
                <w:sz w:val="18"/>
                <w:szCs w:val="18"/>
              </w:rPr>
              <w:t>инвалиды и (или) иные лица с ограниченными возможностями здоровья;</w:t>
            </w:r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firstLine="66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28E3">
              <w:rPr>
                <w:rFonts w:ascii="Times New Roman" w:hAnsi="Times New Roman"/>
                <w:sz w:val="18"/>
                <w:szCs w:val="18"/>
              </w:rPr>
              <w:t>одинокие и (или) многодетные родители, воспитывающие несовершеннолетних детей, и (или) родители детей-инвалидов;</w:t>
            </w:r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firstLine="66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28E3">
              <w:rPr>
                <w:rFonts w:ascii="Times New Roman" w:hAnsi="Times New Roman"/>
                <w:sz w:val="18"/>
                <w:szCs w:val="18"/>
              </w:rPr>
              <w:t>пенсионеры и (или) лица предпенсионного возраста (в течение пяти лет до наступления возраста, дающего право на страховую пенсию по старости, в том числе назначаемую досрочно);</w:t>
            </w:r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firstLine="3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28E3">
              <w:rPr>
                <w:rFonts w:ascii="Times New Roman" w:hAnsi="Times New Roman"/>
                <w:sz w:val="18"/>
                <w:szCs w:val="18"/>
              </w:rPr>
              <w:t>выпускники детских домов в возрасте до 23 лет;</w:t>
            </w:r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firstLine="3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28E3">
              <w:rPr>
                <w:rFonts w:ascii="Times New Roman" w:hAnsi="Times New Roman"/>
                <w:sz w:val="18"/>
                <w:szCs w:val="18"/>
              </w:rPr>
              <w:t>лица, освобожденные из мест лишения свободы и имеющие неснятую или непогашенную судимость;</w:t>
            </w:r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firstLine="3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28E3">
              <w:rPr>
                <w:rFonts w:ascii="Times New Roman" w:hAnsi="Times New Roman"/>
                <w:sz w:val="18"/>
                <w:szCs w:val="18"/>
              </w:rPr>
              <w:t>беженцы и вынужденные переселенцы;</w:t>
            </w:r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firstLine="3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28E3">
              <w:rPr>
                <w:rFonts w:ascii="Times New Roman" w:hAnsi="Times New Roman"/>
                <w:sz w:val="18"/>
                <w:szCs w:val="18"/>
              </w:rPr>
              <w:t>граждане, подвергшиеся воздействию вследствие чернобыльской и других радиационных аварий и катастроф;</w:t>
            </w:r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left="3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28E3">
              <w:rPr>
                <w:rFonts w:ascii="Times New Roman" w:hAnsi="Times New Roman"/>
                <w:sz w:val="18"/>
                <w:szCs w:val="18"/>
              </w:rPr>
              <w:t>иные категории граждан, находящихся в трудной жизненной ситуации, перечень которых установлен нормативными правовыми актами субъекта Российской Федерации;</w:t>
            </w:r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firstLine="3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28E3">
              <w:rPr>
                <w:rFonts w:ascii="Times New Roman" w:hAnsi="Times New Roman"/>
                <w:sz w:val="18"/>
                <w:szCs w:val="18"/>
              </w:rPr>
              <w:t xml:space="preserve">б) субъект малого и среднего предпринимательства обеспечивает доступ производимых лицами, указанными в </w:t>
            </w:r>
            <w:hyperlink w:anchor="Par0" w:history="1">
              <w:r w:rsidRPr="006928E3">
                <w:rPr>
                  <w:rFonts w:ascii="Times New Roman" w:hAnsi="Times New Roman"/>
                  <w:sz w:val="18"/>
                  <w:szCs w:val="18"/>
                </w:rPr>
                <w:t>подпункте "а"</w:t>
              </w:r>
            </w:hyperlink>
            <w:r w:rsidRPr="006928E3">
              <w:rPr>
                <w:sz w:val="18"/>
                <w:szCs w:val="18"/>
              </w:rPr>
              <w:t xml:space="preserve"> </w:t>
            </w:r>
            <w:r w:rsidRPr="006928E3">
              <w:rPr>
                <w:rFonts w:ascii="Times New Roman" w:hAnsi="Times New Roman"/>
                <w:sz w:val="18"/>
                <w:szCs w:val="18"/>
              </w:rPr>
              <w:t>настоящего пункта, товаров (работ, услуг) к рынку сбыта;</w:t>
            </w:r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firstLine="3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28E3">
              <w:rPr>
                <w:rFonts w:ascii="Times New Roman" w:hAnsi="Times New Roman"/>
                <w:sz w:val="18"/>
                <w:szCs w:val="18"/>
              </w:rPr>
              <w:t xml:space="preserve">в) субъект малого и среднего предпринимательства осуществляет деятельность, направленную на производство и реализацию товаров (работ, услуг), которые ориентированы на лиц, указанных в </w:t>
            </w:r>
            <w:hyperlink w:anchor="Par0" w:history="1">
              <w:r w:rsidRPr="006928E3">
                <w:rPr>
                  <w:rFonts w:ascii="Times New Roman" w:hAnsi="Times New Roman"/>
                  <w:sz w:val="18"/>
                  <w:szCs w:val="18"/>
                </w:rPr>
                <w:t>подпункте "а"</w:t>
              </w:r>
            </w:hyperlink>
            <w:r w:rsidRPr="006928E3">
              <w:rPr>
                <w:sz w:val="18"/>
                <w:szCs w:val="18"/>
              </w:rPr>
              <w:t xml:space="preserve"> </w:t>
            </w:r>
            <w:r w:rsidRPr="006928E3">
              <w:rPr>
                <w:rFonts w:ascii="Times New Roman" w:hAnsi="Times New Roman"/>
                <w:sz w:val="18"/>
                <w:szCs w:val="18"/>
              </w:rPr>
              <w:t>настоящего пункта, предназначены для преодоления, замещения (компенсации) ограничений жизнедеятельности и направлены на создание им равных с другими гражданами возможностей участия в жизни общества;</w:t>
            </w:r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firstLine="3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28E3">
              <w:rPr>
                <w:rFonts w:ascii="Times New Roman" w:hAnsi="Times New Roman"/>
                <w:sz w:val="18"/>
                <w:szCs w:val="18"/>
              </w:rPr>
              <w:t>г) субъект малого и среднего предпринимательства осуществляет деятельность, направленную на достижение общественно полезных целей, способствующих решению социальных проблем граждан и общества в целом, в одной или нескольких из следующих сфер:</w:t>
            </w:r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firstLine="3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28E3">
              <w:rPr>
                <w:rFonts w:ascii="Times New Roman" w:hAnsi="Times New Roman"/>
                <w:sz w:val="18"/>
                <w:szCs w:val="18"/>
              </w:rPr>
              <w:t xml:space="preserve">предоставление социальных услуг в соответствии с Федеральным </w:t>
            </w:r>
            <w:hyperlink r:id="rId33" w:history="1">
              <w:r w:rsidRPr="006928E3">
                <w:rPr>
                  <w:rFonts w:ascii="Times New Roman" w:hAnsi="Times New Roman"/>
                  <w:sz w:val="18"/>
                  <w:szCs w:val="18"/>
                </w:rPr>
                <w:t>законом</w:t>
              </w:r>
            </w:hyperlink>
            <w:r w:rsidRPr="006928E3">
              <w:rPr>
                <w:sz w:val="18"/>
                <w:szCs w:val="18"/>
              </w:rPr>
              <w:t xml:space="preserve"> </w:t>
            </w:r>
            <w:r w:rsidRPr="006928E3">
              <w:rPr>
                <w:rFonts w:ascii="Times New Roman" w:hAnsi="Times New Roman"/>
                <w:sz w:val="18"/>
                <w:szCs w:val="18"/>
              </w:rPr>
              <w:t>от 28 декабря 2013 г. N 442-ФЗ "Об основах социального обслуживания граждан в Российской Федерации" (Собрание законодательства Российской Федерации, 2013, N 52, ст. 7007; 2014, N 30, ст. 4257; 2017, N 47, ст. 6850; N 50, ст. 7563; 2018, N 7, ст. 975; N 11, ст. 1591);</w:t>
            </w:r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firstLine="3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28E3">
              <w:rPr>
                <w:rFonts w:ascii="Times New Roman" w:hAnsi="Times New Roman"/>
                <w:sz w:val="18"/>
                <w:szCs w:val="18"/>
              </w:rPr>
              <w:t>предоставление услуг в сфере здравоохранения, социального туризма, физической культуры и массового спорта;</w:t>
            </w:r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firstLine="3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28E3">
              <w:rPr>
                <w:rFonts w:ascii="Times New Roman" w:hAnsi="Times New Roman"/>
                <w:sz w:val="18"/>
                <w:szCs w:val="18"/>
              </w:rPr>
              <w:t>деятельность в области образования;</w:t>
            </w:r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firstLine="3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28E3">
              <w:rPr>
                <w:rFonts w:ascii="Times New Roman" w:hAnsi="Times New Roman"/>
                <w:sz w:val="18"/>
                <w:szCs w:val="18"/>
              </w:rPr>
              <w:t>культурно-просветительская деятельность (деятельность музеев, театров, библиотек, архивов, школ-студий, музыкальных учреждений, творческих мастерских, ботанических и зоологических садов, домов культуры, домов народного творчества, семейно-досуговых центров);</w:t>
            </w:r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firstLine="3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28E3">
              <w:rPr>
                <w:rFonts w:ascii="Times New Roman" w:hAnsi="Times New Roman"/>
                <w:sz w:val="18"/>
                <w:szCs w:val="18"/>
              </w:rPr>
              <w:t xml:space="preserve">выпуск периодических печатных изданий, а также книжной продукции, связанных с образованием, наукой и культурой и включенных в </w:t>
            </w:r>
            <w:hyperlink r:id="rId34" w:history="1">
              <w:r w:rsidRPr="006928E3">
                <w:rPr>
                  <w:rFonts w:ascii="Times New Roman" w:hAnsi="Times New Roman"/>
                  <w:sz w:val="18"/>
                  <w:szCs w:val="18"/>
                </w:rPr>
                <w:t>Перечень</w:t>
              </w:r>
            </w:hyperlink>
            <w:r w:rsidRPr="006928E3">
              <w:rPr>
                <w:sz w:val="18"/>
                <w:szCs w:val="18"/>
              </w:rPr>
              <w:t xml:space="preserve"> </w:t>
            </w:r>
            <w:r w:rsidRPr="006928E3">
              <w:rPr>
                <w:rFonts w:ascii="Times New Roman" w:hAnsi="Times New Roman"/>
                <w:sz w:val="18"/>
                <w:szCs w:val="18"/>
              </w:rPr>
              <w:t xml:space="preserve">видов периодических печатных изданий и книжной продукции, связанной с образованием, наукой и культурой, облагаемых при их </w:t>
            </w:r>
            <w:r w:rsidRPr="006928E3">
              <w:rPr>
                <w:rFonts w:ascii="Times New Roman" w:hAnsi="Times New Roman"/>
                <w:sz w:val="18"/>
                <w:szCs w:val="18"/>
              </w:rPr>
              <w:lastRenderedPageBreak/>
              <w:t>реализации налогом на добавленную стоимость по ставке 10%, утвержденный постановлением Правительства Российской Федерации от 23 января 2003 г. N 41 (Собрание законодательства Российской Федерации, 2003, N 4, ст. 338; 2007, N 28, ст. 3441; 2010, N 52, ст. 7080; 2012, N 43, ст. 5874; 2017, N 1, ст. 190);</w:t>
            </w:r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firstLine="34"/>
              <w:contextualSpacing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6928E3">
              <w:rPr>
                <w:rFonts w:ascii="Times New Roman" w:hAnsi="Times New Roman"/>
                <w:sz w:val="18"/>
                <w:szCs w:val="18"/>
              </w:rPr>
              <w:t>содействие охране окружающей среды и экологической безопасности.</w:t>
            </w:r>
          </w:p>
        </w:tc>
      </w:tr>
      <w:tr w:rsidR="004E60B5" w:rsidRPr="006928E3" w:rsidTr="00A840D3">
        <w:tc>
          <w:tcPr>
            <w:tcW w:w="11199" w:type="dxa"/>
          </w:tcPr>
          <w:p w:rsidR="004E60B5" w:rsidRPr="006928E3" w:rsidRDefault="004E60B5" w:rsidP="004E60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ind w:left="34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6928E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Субъект малого и среднего предпринимательства </w:t>
            </w:r>
            <w:r w:rsidRPr="006928E3">
              <w:rPr>
                <w:rFonts w:ascii="Times New Roman" w:hAnsi="Times New Roman"/>
                <w:b/>
                <w:sz w:val="18"/>
                <w:szCs w:val="18"/>
              </w:rPr>
              <w:t>осуществляет реализацию проекта в сферах туризма, экологии или спорта</w:t>
            </w:r>
          </w:p>
        </w:tc>
      </w:tr>
      <w:tr w:rsidR="004E60B5" w:rsidRPr="006928E3" w:rsidTr="00A840D3">
        <w:tc>
          <w:tcPr>
            <w:tcW w:w="11199" w:type="dxa"/>
          </w:tcPr>
          <w:p w:rsidR="004E60B5" w:rsidRPr="006928E3" w:rsidRDefault="004E60B5" w:rsidP="004E60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ind w:left="34" w:hanging="3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28E3">
              <w:rPr>
                <w:rFonts w:ascii="Times New Roman" w:hAnsi="Times New Roman"/>
                <w:sz w:val="18"/>
                <w:szCs w:val="18"/>
              </w:rPr>
              <w:t xml:space="preserve">Субъект малого и среднего предпринимательства </w:t>
            </w:r>
            <w:r w:rsidRPr="006928E3">
              <w:rPr>
                <w:rFonts w:ascii="Times New Roman" w:hAnsi="Times New Roman"/>
                <w:b/>
                <w:sz w:val="18"/>
                <w:szCs w:val="18"/>
              </w:rPr>
              <w:t>создан физическим лицом старше 45 лет</w:t>
            </w:r>
            <w:r w:rsidRPr="006928E3">
              <w:rPr>
                <w:rFonts w:ascii="Times New Roman" w:hAnsi="Times New Roman"/>
                <w:sz w:val="18"/>
                <w:szCs w:val="18"/>
              </w:rPr>
              <w:t xml:space="preserve"> (физическое лицо старше 45 лет зарегистрировано в качестве индивидуального предпринимателя; в состав учредителей (участников) или акционеров юридического лица входит физическое лицо старше 45 лет и владеющее не менее чем 50% доли в уставном капитале общества с ограниченной ответственностью либо складочном капитале хозяйственного товарищества, либо не менее чем 50% голосующих акций акционерного общества), являющийся вновь зарегистрированным и действующим менее 1 (одного) года на момент принятия решения о предоставлении микрозайма</w:t>
            </w:r>
          </w:p>
        </w:tc>
      </w:tr>
    </w:tbl>
    <w:p w:rsidR="004E60B5" w:rsidRPr="006928E3" w:rsidRDefault="004E60B5" w:rsidP="004E60B5">
      <w:pPr>
        <w:rPr>
          <w:rFonts w:ascii="Times New Roman" w:eastAsia="Times New Roman" w:hAnsi="Times New Roman" w:cs="Times New Roman"/>
          <w:sz w:val="18"/>
          <w:szCs w:val="18"/>
        </w:rPr>
      </w:pPr>
      <w:r w:rsidRPr="006928E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</w:p>
    <w:p w:rsidR="00BA2A97" w:rsidRPr="005C18F5" w:rsidRDefault="00BA2A97" w:rsidP="00BA2A97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C18F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целях получения микрозайма субъекту МСП необходимо:</w:t>
      </w:r>
    </w:p>
    <w:p w:rsidR="00BA2A97" w:rsidRPr="005C18F5" w:rsidRDefault="00BA2A97" w:rsidP="00BA2A97">
      <w:pPr>
        <w:pStyle w:val="a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1. </w:t>
      </w:r>
      <w:r w:rsidRPr="005C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Зайти на сайт Фонда, скачать </w:t>
      </w:r>
      <w:r w:rsidRPr="005C18F5">
        <w:rPr>
          <w:rFonts w:ascii="Times New Roman" w:hAnsi="Times New Roman" w:cs="Times New Roman"/>
          <w:sz w:val="24"/>
          <w:szCs w:val="24"/>
        </w:rPr>
        <w:t xml:space="preserve">предварительную анкету из раздела «Предварительная заявка», заполнить и отправить для проведения Фондом предварительного </w:t>
      </w:r>
      <w:r w:rsidRPr="005C18F5">
        <w:rPr>
          <w:rFonts w:ascii="Times New Roman" w:hAnsi="Times New Roman" w:cs="Times New Roman"/>
          <w:sz w:val="24"/>
          <w:szCs w:val="24"/>
          <w:shd w:val="clear" w:color="auto" w:fill="FFFFFF"/>
        </w:rPr>
        <w:t>экспресс – скоринга;</w:t>
      </w:r>
    </w:p>
    <w:p w:rsidR="00BA2A97" w:rsidRPr="005C18F5" w:rsidRDefault="00BA2A97" w:rsidP="00BA2A9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2. </w:t>
      </w:r>
      <w:r w:rsidRPr="005C18F5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 положительного результата, специалистами Фонда будет направлен в адрес субъекта МСП пакет документов необходимый для заполнения;</w:t>
      </w:r>
    </w:p>
    <w:p w:rsidR="00BA2A97" w:rsidRPr="005C18F5" w:rsidRDefault="00BA2A97" w:rsidP="00BA2A9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3. </w:t>
      </w:r>
      <w:r w:rsidRPr="005C18F5">
        <w:rPr>
          <w:rFonts w:ascii="Times New Roman" w:hAnsi="Times New Roman" w:cs="Times New Roman"/>
          <w:sz w:val="24"/>
          <w:szCs w:val="24"/>
          <w:shd w:val="clear" w:color="auto" w:fill="FFFFFF"/>
        </w:rPr>
        <w:t>Предоставить пакет документов (Заявку) в Фонд по адресу: г. Волгоград, ул. М. Жукова, д. 3, каб. № 111,306 на бумажном носителе.</w:t>
      </w:r>
    </w:p>
    <w:p w:rsidR="00BA2A97" w:rsidRPr="006A7D79" w:rsidRDefault="00BA2A97" w:rsidP="00BA2A97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Pr="005C18F5">
        <w:rPr>
          <w:rFonts w:ascii="Times New Roman" w:hAnsi="Times New Roman" w:cs="Times New Roman"/>
          <w:sz w:val="24"/>
          <w:szCs w:val="24"/>
          <w:shd w:val="clear" w:color="auto" w:fill="FFFFFF"/>
        </w:rPr>
        <w:t>Более подробно можно ознакомиться на сайте Фонда:</w:t>
      </w:r>
      <w:r w:rsidRPr="005C18F5">
        <w:rPr>
          <w:rFonts w:ascii="Times New Roman" w:hAnsi="Times New Roman" w:cs="Times New Roman"/>
          <w:sz w:val="24"/>
          <w:szCs w:val="24"/>
        </w:rPr>
        <w:t xml:space="preserve"> </w:t>
      </w:r>
      <w:hyperlink r:id="rId35" w:history="1">
        <w:r w:rsidRPr="005C18F5">
          <w:rPr>
            <w:rStyle w:val="a6"/>
            <w:rFonts w:ascii="Times New Roman" w:hAnsi="Times New Roman"/>
            <w:b/>
            <w:sz w:val="24"/>
            <w:szCs w:val="24"/>
            <w:shd w:val="clear" w:color="auto" w:fill="FFFFFF"/>
          </w:rPr>
          <w:t>http://rmc34.ru</w:t>
        </w:r>
      </w:hyperlink>
      <w:r w:rsidRPr="005C18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или по телефонам: (8442)35-24-88, (8442)35-22-94.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C18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Электронный адрес: </w:t>
      </w:r>
      <w:hyperlink r:id="rId36" w:history="1">
        <w:r w:rsidRPr="005C18F5">
          <w:rPr>
            <w:rFonts w:ascii="Times New Roman" w:hAnsi="Times New Roman" w:cs="Times New Roman"/>
            <w:color w:val="000000"/>
            <w:sz w:val="24"/>
            <w:szCs w:val="24"/>
            <w:u w:val="single"/>
            <w:shd w:val="clear" w:color="auto" w:fill="FFFFFF"/>
          </w:rPr>
          <w:t>Fmp34@yandex.ru</w:t>
        </w:r>
      </w:hyperlink>
      <w:r w:rsidRPr="005C18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46666A" w:rsidRPr="006928E3" w:rsidRDefault="0046666A">
      <w:pPr>
        <w:rPr>
          <w:sz w:val="18"/>
          <w:szCs w:val="18"/>
        </w:rPr>
      </w:pPr>
    </w:p>
    <w:sectPr w:rsidR="0046666A" w:rsidRPr="006928E3" w:rsidSect="00531BBC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Arial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63C04"/>
    <w:multiLevelType w:val="hybridMultilevel"/>
    <w:tmpl w:val="E5F6CF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D6D"/>
    <w:rsid w:val="00001CBA"/>
    <w:rsid w:val="00010C5A"/>
    <w:rsid w:val="00080E90"/>
    <w:rsid w:val="00092F3F"/>
    <w:rsid w:val="00204D6D"/>
    <w:rsid w:val="0046666A"/>
    <w:rsid w:val="004E60B5"/>
    <w:rsid w:val="00531BBC"/>
    <w:rsid w:val="006928E3"/>
    <w:rsid w:val="006A7D79"/>
    <w:rsid w:val="00774024"/>
    <w:rsid w:val="007C7069"/>
    <w:rsid w:val="008018ED"/>
    <w:rsid w:val="009150D6"/>
    <w:rsid w:val="009B6267"/>
    <w:rsid w:val="00A840D3"/>
    <w:rsid w:val="00BA2A97"/>
    <w:rsid w:val="00C57F39"/>
    <w:rsid w:val="00CD2D8D"/>
    <w:rsid w:val="00D518DA"/>
    <w:rsid w:val="00DA1183"/>
    <w:rsid w:val="00E1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E60B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0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E9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A7D79"/>
    <w:rPr>
      <w:rFonts w:cs="Times New Roman"/>
      <w:color w:val="0000FF" w:themeColor="hyperlink"/>
      <w:u w:val="single"/>
    </w:rPr>
  </w:style>
  <w:style w:type="paragraph" w:styleId="a7">
    <w:name w:val="No Spacing"/>
    <w:uiPriority w:val="1"/>
    <w:qFormat/>
    <w:rsid w:val="006A7D7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E60B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0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E9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A7D79"/>
    <w:rPr>
      <w:rFonts w:cs="Times New Roman"/>
      <w:color w:val="0000FF" w:themeColor="hyperlink"/>
      <w:u w:val="single"/>
    </w:rPr>
  </w:style>
  <w:style w:type="paragraph" w:styleId="a7">
    <w:name w:val="No Spacing"/>
    <w:uiPriority w:val="1"/>
    <w:qFormat/>
    <w:rsid w:val="006A7D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nkub.ru/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://vinkub.ru/" TargetMode="External"/><Relationship Id="rId26" Type="http://schemas.openxmlformats.org/officeDocument/2006/relationships/hyperlink" Target="mailto:cpp34@bk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garantfond34@bk.ru" TargetMode="External"/><Relationship Id="rId34" Type="http://schemas.openxmlformats.org/officeDocument/2006/relationships/hyperlink" Target="consultantplus://offline/ref=120BCA53BE158FF17DEEB13276E10524CE1721BCB55C83C46EC5F12DCB077269A50891C63EB8B86B46C23DA7F2E199F8699AA789B7B29E71xCOFL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rmc34.ru/" TargetMode="External"/><Relationship Id="rId17" Type="http://schemas.openxmlformats.org/officeDocument/2006/relationships/hyperlink" Target="mailto:gauvobi@volganet.ru" TargetMode="External"/><Relationship Id="rId25" Type="http://schemas.openxmlformats.org/officeDocument/2006/relationships/hyperlink" Target="http://rmc34.ru/" TargetMode="External"/><Relationship Id="rId33" Type="http://schemas.openxmlformats.org/officeDocument/2006/relationships/hyperlink" Target="consultantplus://offline/ref=120BCA53BE158FF17DEEB13276E10524CF152CB9B35C83C46EC5F12DCB077269B708C9CA3EB9A66B48D76BF6B7xBODL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exportcenter.ru/" TargetMode="External"/><Relationship Id="rId20" Type="http://schemas.openxmlformats.org/officeDocument/2006/relationships/hyperlink" Target="http://civo34.ru/" TargetMode="External"/><Relationship Id="rId29" Type="http://schemas.openxmlformats.org/officeDocument/2006/relationships/hyperlink" Target="http://cpe.it-face.com/abou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inkub.ru/" TargetMode="External"/><Relationship Id="rId11" Type="http://schemas.openxmlformats.org/officeDocument/2006/relationships/hyperlink" Target="http://www.nprgf.com/" TargetMode="External"/><Relationship Id="rId24" Type="http://schemas.openxmlformats.org/officeDocument/2006/relationships/hyperlink" Target="http://www.rmc34.ru/" TargetMode="External"/><Relationship Id="rId32" Type="http://schemas.openxmlformats.org/officeDocument/2006/relationships/hyperlink" Target="http://ciss34.ru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yperlink" Target="mailto:volganet.rmc@yandex.ru" TargetMode="External"/><Relationship Id="rId28" Type="http://schemas.openxmlformats.org/officeDocument/2006/relationships/hyperlink" Target="mailto:export34@bk.ru" TargetMode="External"/><Relationship Id="rId36" Type="http://schemas.openxmlformats.org/officeDocument/2006/relationships/hyperlink" Target="mailto:Fmp34@yandex.ru" TargetMode="External"/><Relationship Id="rId10" Type="http://schemas.openxmlformats.org/officeDocument/2006/relationships/image" Target="media/image2.jpeg"/><Relationship Id="rId19" Type="http://schemas.openxmlformats.org/officeDocument/2006/relationships/hyperlink" Target="mailto:civo34@mail.ru" TargetMode="External"/><Relationship Id="rId31" Type="http://schemas.openxmlformats.org/officeDocument/2006/relationships/hyperlink" Target="mailto:ciss34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prgf.com/" TargetMode="External"/><Relationship Id="rId14" Type="http://schemas.openxmlformats.org/officeDocument/2006/relationships/hyperlink" Target="http://rmc34.ru/" TargetMode="External"/><Relationship Id="rId22" Type="http://schemas.openxmlformats.org/officeDocument/2006/relationships/hyperlink" Target="http://www.nprgf.com/" TargetMode="External"/><Relationship Id="rId27" Type="http://schemas.openxmlformats.org/officeDocument/2006/relationships/hyperlink" Target="mailto:volganet.rmc@yandex.ru" TargetMode="External"/><Relationship Id="rId30" Type="http://schemas.openxmlformats.org/officeDocument/2006/relationships/hyperlink" Target="https://exportedu.ru/" TargetMode="External"/><Relationship Id="rId35" Type="http://schemas.openxmlformats.org/officeDocument/2006/relationships/hyperlink" Target="http://rmc34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5429</Words>
  <Characters>30951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36308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EAV</cp:lastModifiedBy>
  <cp:revision>2</cp:revision>
  <cp:lastPrinted>2019-08-27T03:45:00Z</cp:lastPrinted>
  <dcterms:created xsi:type="dcterms:W3CDTF">2021-11-16T19:42:00Z</dcterms:created>
  <dcterms:modified xsi:type="dcterms:W3CDTF">2021-11-16T19:42:00Z</dcterms:modified>
</cp:coreProperties>
</file>