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D0BF8" w:rsidRPr="00BB7DAD" w:rsidRDefault="00BB7DAD" w:rsidP="009D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 году в Волгоградской области</w:t>
      </w:r>
      <w:r w:rsidR="00681CD1">
        <w:rPr>
          <w:rFonts w:ascii="Times New Roman" w:hAnsi="Times New Roman" w:cs="Times New Roman"/>
          <w:b/>
          <w:sz w:val="28"/>
          <w:szCs w:val="28"/>
        </w:rPr>
        <w:t xml:space="preserve"> запланировано уточнить границы 46 тысяч земельных участков</w:t>
      </w:r>
      <w:r w:rsidR="00681CD1" w:rsidRPr="00681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CD1">
        <w:rPr>
          <w:rFonts w:ascii="Times New Roman" w:hAnsi="Times New Roman" w:cs="Times New Roman"/>
          <w:b/>
          <w:sz w:val="28"/>
          <w:szCs w:val="28"/>
        </w:rPr>
        <w:t>за счет регионального бюджета</w:t>
      </w:r>
    </w:p>
    <w:p w:rsidR="00D72C83" w:rsidRDefault="00D72C83" w:rsidP="009D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CD1" w:rsidRDefault="00681CD1" w:rsidP="006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на территории Волгоградской области проведение комплексных кадастровых работ (ККР) осуществляется, в том числе, без привлечения федеральных средств, только за счет регионального бюджета. </w:t>
      </w:r>
      <w:r w:rsidRPr="00D602C0">
        <w:rPr>
          <w:rFonts w:ascii="Times New Roman" w:hAnsi="Times New Roman" w:cs="Times New Roman"/>
          <w:sz w:val="28"/>
          <w:szCs w:val="28"/>
        </w:rPr>
        <w:t>Заказчиком пр</w:t>
      </w:r>
      <w:r>
        <w:rPr>
          <w:rFonts w:ascii="Times New Roman" w:hAnsi="Times New Roman" w:cs="Times New Roman"/>
          <w:sz w:val="28"/>
          <w:szCs w:val="28"/>
        </w:rPr>
        <w:t>оведения таких работ выступают 11</w:t>
      </w:r>
      <w:r w:rsidRPr="00D602C0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602C0">
        <w:rPr>
          <w:rFonts w:ascii="Times New Roman" w:hAnsi="Times New Roman" w:cs="Times New Roman"/>
          <w:sz w:val="28"/>
          <w:szCs w:val="28"/>
        </w:rPr>
        <w:t xml:space="preserve"> образований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Михайловка, Алексеевский,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Новоаннинский,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Старополтавский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Суравикинский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Чернышковский, Урюпинский  муниципальные районы</w:t>
      </w:r>
      <w:r w:rsidRPr="00D602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CD1" w:rsidRDefault="00681CD1" w:rsidP="006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CD1" w:rsidRDefault="00681CD1" w:rsidP="006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органами местного самоуправления </w:t>
      </w:r>
      <w:r w:rsidRPr="00D602C0">
        <w:rPr>
          <w:rFonts w:ascii="Times New Roman" w:hAnsi="Times New Roman" w:cs="Times New Roman"/>
          <w:sz w:val="28"/>
          <w:szCs w:val="28"/>
        </w:rPr>
        <w:t>заключен</w:t>
      </w:r>
      <w:r>
        <w:rPr>
          <w:rFonts w:ascii="Times New Roman" w:hAnsi="Times New Roman" w:cs="Times New Roman"/>
          <w:sz w:val="28"/>
          <w:szCs w:val="28"/>
        </w:rPr>
        <w:t>о 13 муниципальных контрактов на выполнение ККР в границах 128 кадастровых кварталов в отношении около 46 тысяч объектов недвижимости.</w:t>
      </w:r>
    </w:p>
    <w:p w:rsidR="00681CD1" w:rsidRDefault="00681CD1" w:rsidP="006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CD1" w:rsidRPr="00425A8F" w:rsidRDefault="00681CD1" w:rsidP="00681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кадастровых кварталах в границах которых выполняются ККР размещена на официальном сайте Управления в разделе Открытая служба – Статистика и аналитика – Комплексные кадастровые работы за счет средств регионального бюджета – Извещения о начале проведения комплексных кадастровых работ.</w:t>
      </w:r>
    </w:p>
    <w:p w:rsidR="00D72C83" w:rsidRPr="00D72C83" w:rsidRDefault="00D72C83" w:rsidP="00D72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00A" w:rsidRPr="007405FD" w:rsidRDefault="00FF300A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0C6B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2023-09-11T20:34:00Z</dcterms:created>
  <dcterms:modified xsi:type="dcterms:W3CDTF">2023-09-11T20:34:00Z</dcterms:modified>
</cp:coreProperties>
</file>